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DEAE3" w14:textId="77777777" w:rsidR="009A6BDD" w:rsidRDefault="00751776" w:rsidP="007B75C3">
      <w:pPr>
        <w:pBdr>
          <w:top w:val="nil"/>
          <w:left w:val="nil"/>
          <w:bottom w:val="nil"/>
          <w:right w:val="nil"/>
          <w:between w:val="nil"/>
        </w:pBdr>
        <w:spacing w:after="200" w:line="276" w:lineRule="auto"/>
        <w:rPr>
          <w:rFonts w:ascii="Arial" w:eastAsia="Arial" w:hAnsi="Arial" w:cs="Arial"/>
          <w:b/>
          <w:color w:val="000000"/>
          <w:sz w:val="32"/>
          <w:szCs w:val="32"/>
        </w:rPr>
      </w:pPr>
      <w:r w:rsidRPr="0041093D">
        <w:rPr>
          <w:rFonts w:ascii="Arial" w:hAnsi="Arial" w:cs="Arial"/>
          <w:b/>
          <w:sz w:val="32"/>
          <w:szCs w:val="32"/>
        </w:rPr>
        <w:t xml:space="preserve">Ford Việt Nam Và Hệ Thống Đại Lý Tri Ân Khách Hàng Với Chương Trình </w:t>
      </w:r>
      <w:r w:rsidR="002C4250" w:rsidRPr="0041093D">
        <w:rPr>
          <w:rFonts w:ascii="Arial" w:hAnsi="Arial" w:cs="Arial"/>
          <w:b/>
          <w:sz w:val="32"/>
          <w:szCs w:val="32"/>
        </w:rPr>
        <w:t>“</w:t>
      </w:r>
      <w:r w:rsidRPr="0041093D">
        <w:rPr>
          <w:rFonts w:ascii="Arial" w:hAnsi="Arial" w:cs="Arial"/>
          <w:b/>
          <w:sz w:val="32"/>
          <w:szCs w:val="32"/>
        </w:rPr>
        <w:t xml:space="preserve">Thời </w:t>
      </w:r>
      <w:r w:rsidR="002C4250" w:rsidRPr="0041093D">
        <w:rPr>
          <w:rFonts w:ascii="Arial" w:hAnsi="Arial" w:cs="Arial"/>
          <w:b/>
          <w:sz w:val="32"/>
          <w:szCs w:val="32"/>
        </w:rPr>
        <w:t xml:space="preserve">Điểm </w:t>
      </w:r>
      <w:r w:rsidRPr="0041093D">
        <w:rPr>
          <w:rFonts w:ascii="Arial" w:hAnsi="Arial" w:cs="Arial"/>
          <w:b/>
          <w:sz w:val="32"/>
          <w:szCs w:val="32"/>
        </w:rPr>
        <w:t>Vàng Mua Xe Ford</w:t>
      </w:r>
      <w:r w:rsidR="002C4250" w:rsidRPr="0041093D">
        <w:rPr>
          <w:rFonts w:ascii="Arial" w:hAnsi="Arial" w:cs="Arial"/>
          <w:b/>
          <w:sz w:val="32"/>
          <w:szCs w:val="32"/>
        </w:rPr>
        <w:t>”</w:t>
      </w:r>
      <w:r w:rsidR="002C4250">
        <w:rPr>
          <w:rFonts w:ascii="Arial" w:eastAsia="Arial" w:hAnsi="Arial" w:cs="Arial"/>
          <w:b/>
          <w:sz w:val="32"/>
          <w:szCs w:val="32"/>
        </w:rPr>
        <w:t xml:space="preserve"> </w:t>
      </w:r>
      <w:r w:rsidR="009A6BDD">
        <w:rPr>
          <w:rFonts w:ascii="Arial" w:eastAsia="Arial" w:hAnsi="Arial" w:cs="Arial"/>
          <w:b/>
          <w:sz w:val="32"/>
          <w:szCs w:val="32"/>
        </w:rPr>
        <w:t xml:space="preserve">Với Tổng Giá Trị Giải Thưởng Lên Đến </w:t>
      </w:r>
      <w:r w:rsidR="00BD7011">
        <w:rPr>
          <w:rFonts w:ascii="Arial" w:eastAsia="Arial" w:hAnsi="Arial" w:cs="Arial"/>
          <w:b/>
          <w:sz w:val="32"/>
          <w:szCs w:val="32"/>
        </w:rPr>
        <w:t>Hơn</w:t>
      </w:r>
      <w:r w:rsidR="00BD7011">
        <w:rPr>
          <w:rFonts w:ascii="Arial" w:eastAsia="Arial" w:hAnsi="Arial" w:cs="Arial"/>
          <w:b/>
          <w:sz w:val="32"/>
          <w:szCs w:val="32"/>
          <w:lang w:val="vi-VN"/>
        </w:rPr>
        <w:t xml:space="preserve"> </w:t>
      </w:r>
      <w:r w:rsidR="002C4250">
        <w:rPr>
          <w:rFonts w:ascii="Arial" w:eastAsia="Arial" w:hAnsi="Arial" w:cs="Arial"/>
          <w:b/>
          <w:sz w:val="32"/>
          <w:szCs w:val="32"/>
          <w:lang w:val="vi-VN"/>
        </w:rPr>
        <w:t>7</w:t>
      </w:r>
      <w:r w:rsidR="002C4250">
        <w:rPr>
          <w:rFonts w:ascii="Arial" w:eastAsia="Arial" w:hAnsi="Arial" w:cs="Arial"/>
          <w:b/>
          <w:sz w:val="32"/>
          <w:szCs w:val="32"/>
        </w:rPr>
        <w:t xml:space="preserve"> </w:t>
      </w:r>
      <w:r w:rsidR="009A6BDD">
        <w:rPr>
          <w:rFonts w:ascii="Arial" w:eastAsia="Arial" w:hAnsi="Arial" w:cs="Arial"/>
          <w:b/>
          <w:sz w:val="32"/>
          <w:szCs w:val="32"/>
        </w:rPr>
        <w:t>Tỷ Đồng</w:t>
      </w:r>
    </w:p>
    <w:p w14:paraId="6038F4AF" w14:textId="5DB52114" w:rsidR="009A6BDD" w:rsidRPr="007B75C3" w:rsidRDefault="00907192" w:rsidP="007B75C3">
      <w:pPr>
        <w:numPr>
          <w:ilvl w:val="0"/>
          <w:numId w:val="3"/>
        </w:numPr>
        <w:pBdr>
          <w:top w:val="nil"/>
          <w:left w:val="nil"/>
          <w:bottom w:val="nil"/>
          <w:right w:val="nil"/>
          <w:between w:val="nil"/>
        </w:pBdr>
        <w:spacing w:after="200" w:line="276" w:lineRule="auto"/>
        <w:rPr>
          <w:color w:val="000000"/>
        </w:rPr>
      </w:pPr>
      <w:r w:rsidRPr="007B75C3">
        <w:rPr>
          <w:rFonts w:ascii="Arial" w:eastAsia="Arial" w:hAnsi="Arial" w:cs="Arial"/>
          <w:color w:val="000000"/>
          <w:sz w:val="22"/>
          <w:szCs w:val="22"/>
          <w:lang w:val="vi-VN"/>
        </w:rPr>
        <w:t>Chương trình</w:t>
      </w:r>
      <w:r w:rsidR="009A6BDD" w:rsidRPr="007B75C3">
        <w:rPr>
          <w:rFonts w:ascii="Arial" w:eastAsia="Arial" w:hAnsi="Arial" w:cs="Arial"/>
          <w:sz w:val="22"/>
          <w:szCs w:val="22"/>
        </w:rPr>
        <w:t xml:space="preserve"> “Thời Điểm Vàng Mua Xe Ford” áp dụng từ ngày 01/11/2015 đến 15:00 ngày 22/11/2025</w:t>
      </w:r>
      <w:r w:rsidRPr="007B75C3">
        <w:rPr>
          <w:rFonts w:ascii="Arial" w:eastAsia="Arial" w:hAnsi="Arial" w:cs="Arial"/>
          <w:sz w:val="22"/>
          <w:szCs w:val="22"/>
          <w:lang w:val="vi-VN"/>
        </w:rPr>
        <w:t xml:space="preserve">. Tất cả các khách hàng ký hợp đồng mua xe trong thời gian này có cơ hội nhận </w:t>
      </w:r>
      <w:r w:rsidR="00213DFE" w:rsidRPr="007B75C3">
        <w:rPr>
          <w:rFonts w:ascii="Arial" w:eastAsia="Arial" w:hAnsi="Arial" w:cs="Arial"/>
          <w:sz w:val="22"/>
          <w:szCs w:val="22"/>
          <w:lang w:val="vi-VN"/>
        </w:rPr>
        <w:t xml:space="preserve">hàng ngàn giải vàng </w:t>
      </w:r>
      <w:r w:rsidRPr="007B75C3">
        <w:rPr>
          <w:rFonts w:ascii="Arial" w:eastAsia="Arial" w:hAnsi="Arial" w:cs="Arial"/>
          <w:sz w:val="22"/>
          <w:szCs w:val="22"/>
          <w:lang w:val="vi-VN"/>
        </w:rPr>
        <w:t xml:space="preserve">và </w:t>
      </w:r>
      <w:r w:rsidR="00213DFE" w:rsidRPr="007B75C3">
        <w:rPr>
          <w:rFonts w:ascii="Arial" w:eastAsia="Arial" w:hAnsi="Arial" w:cs="Arial"/>
          <w:sz w:val="22"/>
          <w:szCs w:val="22"/>
          <w:lang w:val="vi-VN"/>
        </w:rPr>
        <w:t xml:space="preserve">nhiều quà tặng hấp dẫn </w:t>
      </w:r>
      <w:r w:rsidRPr="007B75C3">
        <w:rPr>
          <w:rFonts w:ascii="Arial" w:eastAsia="Arial" w:hAnsi="Arial" w:cs="Arial"/>
          <w:sz w:val="22"/>
          <w:szCs w:val="22"/>
          <w:lang w:val="vi-VN"/>
        </w:rPr>
        <w:t xml:space="preserve">với tổng giá trị lên đến hơn 7 Tỷ Đồng. </w:t>
      </w:r>
    </w:p>
    <w:p w14:paraId="040FBEE9" w14:textId="77777777" w:rsidR="009A6BDD" w:rsidRDefault="004F1E07" w:rsidP="007B75C3">
      <w:pPr>
        <w:numPr>
          <w:ilvl w:val="0"/>
          <w:numId w:val="3"/>
        </w:numPr>
        <w:pBdr>
          <w:top w:val="nil"/>
          <w:left w:val="nil"/>
          <w:bottom w:val="nil"/>
          <w:right w:val="nil"/>
          <w:between w:val="nil"/>
        </w:pBdr>
        <w:spacing w:after="200" w:line="276" w:lineRule="auto"/>
        <w:rPr>
          <w:color w:val="000000"/>
        </w:rPr>
      </w:pPr>
      <w:r>
        <w:rPr>
          <w:rFonts w:ascii="Arial" w:eastAsia="Arial" w:hAnsi="Arial" w:cs="Arial"/>
          <w:sz w:val="22"/>
          <w:szCs w:val="22"/>
          <w:lang w:val="vi-VN"/>
        </w:rPr>
        <w:t xml:space="preserve">Chương trình </w:t>
      </w:r>
      <w:r>
        <w:rPr>
          <w:rFonts w:ascii="Arial" w:eastAsia="Arial" w:hAnsi="Arial" w:cs="Arial"/>
          <w:sz w:val="22"/>
          <w:szCs w:val="22"/>
        </w:rPr>
        <w:t>áp dụng</w:t>
      </w:r>
      <w:r w:rsidR="00BD7011">
        <w:rPr>
          <w:rFonts w:ascii="Arial" w:eastAsia="Arial" w:hAnsi="Arial" w:cs="Arial"/>
          <w:sz w:val="22"/>
          <w:szCs w:val="22"/>
          <w:lang w:val="vi-VN"/>
        </w:rPr>
        <w:t xml:space="preserve"> trên toàn quốc và dành</w:t>
      </w:r>
      <w:r>
        <w:rPr>
          <w:rFonts w:ascii="Arial" w:eastAsia="Arial" w:hAnsi="Arial" w:cs="Arial"/>
          <w:sz w:val="22"/>
          <w:szCs w:val="22"/>
        </w:rPr>
        <w:t xml:space="preserve"> cho</w:t>
      </w:r>
      <w:r>
        <w:rPr>
          <w:rFonts w:ascii="Arial" w:eastAsia="Arial" w:hAnsi="Arial" w:cs="Arial"/>
          <w:sz w:val="22"/>
          <w:szCs w:val="22"/>
          <w:lang w:val="vi-VN"/>
        </w:rPr>
        <w:t xml:space="preserve"> tất cả</w:t>
      </w:r>
      <w:r>
        <w:rPr>
          <w:rFonts w:ascii="Arial" w:eastAsia="Arial" w:hAnsi="Arial" w:cs="Arial"/>
          <w:sz w:val="22"/>
          <w:szCs w:val="22"/>
        </w:rPr>
        <w:t xml:space="preserve"> các dòng xe Ford bao gồm Ford Everest, Ford Territory, Ford Ranger, Ford Transit và Ford Mustang Mach-E</w:t>
      </w:r>
      <w:r>
        <w:rPr>
          <w:rFonts w:ascii="Arial" w:eastAsia="Arial" w:hAnsi="Arial" w:cs="Arial"/>
          <w:sz w:val="22"/>
          <w:szCs w:val="22"/>
          <w:lang w:val="vi-VN"/>
        </w:rPr>
        <w:t>.</w:t>
      </w:r>
    </w:p>
    <w:p w14:paraId="6B1BA23F" w14:textId="628F57A4" w:rsidR="009A6BDD" w:rsidRDefault="009A6BDD" w:rsidP="007B75C3">
      <w:pPr>
        <w:pBdr>
          <w:top w:val="nil"/>
          <w:left w:val="nil"/>
          <w:bottom w:val="nil"/>
          <w:right w:val="nil"/>
          <w:between w:val="nil"/>
        </w:pBdr>
        <w:spacing w:after="200" w:line="276" w:lineRule="auto"/>
        <w:rPr>
          <w:rFonts w:ascii="Arial" w:eastAsia="Arial" w:hAnsi="Arial" w:cs="Arial"/>
          <w:sz w:val="22"/>
          <w:szCs w:val="22"/>
        </w:rPr>
      </w:pPr>
      <w:r>
        <w:rPr>
          <w:rFonts w:ascii="Arial" w:eastAsia="Arial" w:hAnsi="Arial" w:cs="Arial"/>
          <w:b/>
          <w:color w:val="000000"/>
          <w:sz w:val="22"/>
          <w:szCs w:val="22"/>
        </w:rPr>
        <w:t xml:space="preserve">Hà Nội, Ngày </w:t>
      </w:r>
      <w:r w:rsidR="006C201D">
        <w:rPr>
          <w:rFonts w:ascii="Arial" w:eastAsia="Arial" w:hAnsi="Arial" w:cs="Arial"/>
          <w:b/>
          <w:color w:val="000000"/>
          <w:sz w:val="22"/>
          <w:szCs w:val="22"/>
          <w:lang w:val="vi-VN"/>
        </w:rPr>
        <w:t xml:space="preserve"> </w:t>
      </w:r>
      <w:r w:rsidR="007B75C3">
        <w:rPr>
          <w:rFonts w:ascii="Arial" w:eastAsia="Arial" w:hAnsi="Arial" w:cs="Arial"/>
          <w:b/>
          <w:color w:val="000000"/>
          <w:sz w:val="22"/>
          <w:szCs w:val="22"/>
          <w:lang w:val="vi-VN"/>
        </w:rPr>
        <w:t>01</w:t>
      </w:r>
      <w:r>
        <w:rPr>
          <w:rFonts w:ascii="Arial" w:eastAsia="Arial" w:hAnsi="Arial" w:cs="Arial"/>
          <w:b/>
          <w:color w:val="000000"/>
          <w:sz w:val="22"/>
          <w:szCs w:val="22"/>
        </w:rPr>
        <w:t xml:space="preserve"> tháng 1</w:t>
      </w:r>
      <w:r>
        <w:rPr>
          <w:rFonts w:ascii="Arial" w:eastAsia="Arial" w:hAnsi="Arial" w:cs="Arial"/>
          <w:b/>
          <w:sz w:val="22"/>
          <w:szCs w:val="22"/>
        </w:rPr>
        <w:t>1</w:t>
      </w:r>
      <w:r>
        <w:rPr>
          <w:rFonts w:ascii="Arial" w:eastAsia="Arial" w:hAnsi="Arial" w:cs="Arial"/>
          <w:b/>
          <w:color w:val="000000"/>
          <w:sz w:val="22"/>
          <w:szCs w:val="22"/>
        </w:rPr>
        <w:t xml:space="preserve"> năm 2025 –</w:t>
      </w:r>
      <w:r w:rsidR="004F1E07">
        <w:rPr>
          <w:rFonts w:ascii="Arial" w:eastAsia="Arial" w:hAnsi="Arial" w:cs="Arial"/>
          <w:b/>
          <w:color w:val="000000"/>
          <w:sz w:val="22"/>
          <w:szCs w:val="22"/>
          <w:lang w:val="vi-VN"/>
        </w:rPr>
        <w:t xml:space="preserve"> </w:t>
      </w:r>
      <w:r w:rsidR="0083334F" w:rsidRPr="0083334F">
        <w:rPr>
          <w:rFonts w:ascii="Arial" w:eastAsia="Arial" w:hAnsi="Arial" w:cs="Arial"/>
          <w:sz w:val="22"/>
          <w:szCs w:val="22"/>
        </w:rPr>
        <w:t>Ford Việt Nam</w:t>
      </w:r>
      <w:r w:rsidR="0083334F">
        <w:rPr>
          <w:rFonts w:ascii="Arial" w:eastAsia="Arial" w:hAnsi="Arial" w:cs="Arial"/>
          <w:sz w:val="22"/>
          <w:szCs w:val="22"/>
          <w:lang w:val="vi-VN"/>
        </w:rPr>
        <w:t xml:space="preserve"> và hệ thống Đại lý trên toàn quốc</w:t>
      </w:r>
      <w:r w:rsidR="0083334F" w:rsidRPr="0083334F">
        <w:rPr>
          <w:rFonts w:ascii="Arial" w:eastAsia="Arial" w:hAnsi="Arial" w:cs="Arial"/>
          <w:sz w:val="22"/>
          <w:szCs w:val="22"/>
        </w:rPr>
        <w:t xml:space="preserve"> </w:t>
      </w:r>
      <w:r w:rsidR="0083334F">
        <w:rPr>
          <w:rFonts w:ascii="Arial" w:eastAsia="Arial" w:hAnsi="Arial" w:cs="Arial"/>
          <w:sz w:val="22"/>
          <w:szCs w:val="22"/>
        </w:rPr>
        <w:t>triển</w:t>
      </w:r>
      <w:r w:rsidR="0083334F">
        <w:rPr>
          <w:rFonts w:ascii="Arial" w:eastAsia="Arial" w:hAnsi="Arial" w:cs="Arial"/>
          <w:sz w:val="22"/>
          <w:szCs w:val="22"/>
          <w:lang w:val="vi-VN"/>
        </w:rPr>
        <w:t xml:space="preserve"> khai</w:t>
      </w:r>
      <w:r w:rsidR="0083334F" w:rsidRPr="0083334F">
        <w:rPr>
          <w:rFonts w:ascii="Arial" w:eastAsia="Arial" w:hAnsi="Arial" w:cs="Arial"/>
          <w:sz w:val="22"/>
          <w:szCs w:val="22"/>
        </w:rPr>
        <w:t xml:space="preserve"> chương trình ưu đãi đặc biệt “Thời Điểm Vàng Mua Xe Ford”, mang đến cơ hội sở hữu xe Ford cùng nhiều phần quà giá trị. </w:t>
      </w:r>
      <w:r w:rsidR="0083334F">
        <w:rPr>
          <w:rFonts w:ascii="Arial" w:eastAsia="Arial" w:hAnsi="Arial" w:cs="Arial"/>
          <w:sz w:val="22"/>
          <w:szCs w:val="22"/>
        </w:rPr>
        <w:t>Chương</w:t>
      </w:r>
      <w:r w:rsidR="0083334F">
        <w:rPr>
          <w:rFonts w:ascii="Arial" w:eastAsia="Arial" w:hAnsi="Arial" w:cs="Arial"/>
          <w:sz w:val="22"/>
          <w:szCs w:val="22"/>
          <w:lang w:val="vi-VN"/>
        </w:rPr>
        <w:t xml:space="preserve"> trình d</w:t>
      </w:r>
      <w:r w:rsidR="0083334F" w:rsidRPr="0083334F">
        <w:rPr>
          <w:rFonts w:ascii="Arial" w:eastAsia="Arial" w:hAnsi="Arial" w:cs="Arial"/>
          <w:sz w:val="22"/>
          <w:szCs w:val="22"/>
        </w:rPr>
        <w:t xml:space="preserve">iễn ra từ ngày </w:t>
      </w:r>
      <w:r w:rsidR="0083334F">
        <w:rPr>
          <w:rFonts w:ascii="Arial" w:eastAsia="Arial" w:hAnsi="Arial" w:cs="Arial"/>
          <w:sz w:val="22"/>
          <w:szCs w:val="22"/>
          <w:lang w:val="vi-VN"/>
        </w:rPr>
        <w:t>0</w:t>
      </w:r>
      <w:r w:rsidR="0083334F" w:rsidRPr="0083334F">
        <w:rPr>
          <w:rFonts w:ascii="Arial" w:eastAsia="Arial" w:hAnsi="Arial" w:cs="Arial"/>
          <w:sz w:val="22"/>
          <w:szCs w:val="22"/>
        </w:rPr>
        <w:t>1/11 đến 15:00 ngày 22/11/2025</w:t>
      </w:r>
      <w:r w:rsidR="0083334F">
        <w:rPr>
          <w:rFonts w:ascii="Arial" w:eastAsia="Arial" w:hAnsi="Arial" w:cs="Arial"/>
          <w:sz w:val="22"/>
          <w:szCs w:val="22"/>
          <w:lang w:val="vi-VN"/>
        </w:rPr>
        <w:t xml:space="preserve"> áp dụng cho tất cả các dòng xe Ford </w:t>
      </w:r>
      <w:r w:rsidR="0083334F" w:rsidRPr="0083334F">
        <w:rPr>
          <w:rFonts w:ascii="Arial" w:eastAsia="Arial" w:hAnsi="Arial" w:cs="Arial"/>
          <w:sz w:val="22"/>
          <w:szCs w:val="22"/>
        </w:rPr>
        <w:t xml:space="preserve">với tổng giá trị giải thưởng lên đến </w:t>
      </w:r>
      <w:r w:rsidR="0083334F">
        <w:rPr>
          <w:rFonts w:ascii="Arial" w:eastAsia="Arial" w:hAnsi="Arial" w:cs="Arial"/>
          <w:sz w:val="22"/>
          <w:szCs w:val="22"/>
        </w:rPr>
        <w:t>hơn</w:t>
      </w:r>
      <w:r w:rsidR="0083334F">
        <w:rPr>
          <w:rFonts w:ascii="Arial" w:eastAsia="Arial" w:hAnsi="Arial" w:cs="Arial"/>
          <w:sz w:val="22"/>
          <w:szCs w:val="22"/>
          <w:lang w:val="vi-VN"/>
        </w:rPr>
        <w:t xml:space="preserve"> 7</w:t>
      </w:r>
      <w:r w:rsidR="0083334F" w:rsidRPr="0083334F">
        <w:rPr>
          <w:rFonts w:ascii="Arial" w:eastAsia="Arial" w:hAnsi="Arial" w:cs="Arial"/>
          <w:sz w:val="22"/>
          <w:szCs w:val="22"/>
        </w:rPr>
        <w:t xml:space="preserve"> tỷ đồng.</w:t>
      </w:r>
    </w:p>
    <w:p w14:paraId="1E2C2E2B" w14:textId="20E4F022" w:rsidR="004F1E07" w:rsidRPr="004F1E07" w:rsidRDefault="004F1E07" w:rsidP="007B75C3">
      <w:pPr>
        <w:pBdr>
          <w:top w:val="nil"/>
          <w:left w:val="nil"/>
          <w:bottom w:val="nil"/>
          <w:right w:val="nil"/>
          <w:between w:val="nil"/>
        </w:pBdr>
        <w:spacing w:after="200" w:line="276" w:lineRule="auto"/>
        <w:rPr>
          <w:rFonts w:ascii="Arial" w:hAnsi="Arial" w:cs="Arial"/>
          <w:b/>
          <w:sz w:val="22"/>
          <w:szCs w:val="22"/>
          <w:lang w:val="vi-VN"/>
        </w:rPr>
      </w:pPr>
      <w:r w:rsidRPr="007B75C3">
        <w:rPr>
          <w:rFonts w:ascii="Arial" w:hAnsi="Arial" w:cs="Arial"/>
          <w:b/>
          <w:sz w:val="22"/>
          <w:szCs w:val="22"/>
        </w:rPr>
        <w:t>Cơ Hội Nhận Giải</w:t>
      </w:r>
      <w:r w:rsidRPr="007B75C3">
        <w:rPr>
          <w:rFonts w:ascii="Arial" w:hAnsi="Arial" w:cs="Arial"/>
          <w:b/>
          <w:sz w:val="22"/>
          <w:szCs w:val="22"/>
          <w:lang w:val="vi-VN"/>
        </w:rPr>
        <w:t xml:space="preserve"> Vàng </w:t>
      </w:r>
      <w:r w:rsidR="00646AFD" w:rsidRPr="007B75C3">
        <w:rPr>
          <w:rFonts w:ascii="Arial" w:hAnsi="Arial" w:cs="Arial"/>
          <w:b/>
          <w:sz w:val="22"/>
          <w:szCs w:val="22"/>
          <w:lang w:val="vi-VN"/>
        </w:rPr>
        <w:t xml:space="preserve">Và Nhiều Quà Tặng Hấp Dẫn </w:t>
      </w:r>
      <w:r w:rsidRPr="007B75C3">
        <w:rPr>
          <w:rFonts w:ascii="Arial" w:hAnsi="Arial" w:cs="Arial"/>
          <w:b/>
          <w:sz w:val="22"/>
          <w:szCs w:val="22"/>
          <w:lang w:val="vi-VN"/>
        </w:rPr>
        <w:t xml:space="preserve">Với Tổng Giá Trị </w:t>
      </w:r>
      <w:r w:rsidR="00646AFD" w:rsidRPr="007B75C3">
        <w:rPr>
          <w:rFonts w:ascii="Arial" w:hAnsi="Arial" w:cs="Arial"/>
          <w:b/>
          <w:sz w:val="22"/>
          <w:szCs w:val="22"/>
          <w:lang w:val="vi-VN"/>
        </w:rPr>
        <w:t xml:space="preserve">Hơn 7 </w:t>
      </w:r>
      <w:r w:rsidRPr="007B75C3">
        <w:rPr>
          <w:rFonts w:ascii="Arial" w:hAnsi="Arial" w:cs="Arial"/>
          <w:b/>
          <w:sz w:val="22"/>
          <w:szCs w:val="22"/>
          <w:lang w:val="vi-VN"/>
        </w:rPr>
        <w:t>Tỷ Đồng</w:t>
      </w:r>
    </w:p>
    <w:p w14:paraId="1FF3F506" w14:textId="77777777" w:rsidR="00744935" w:rsidRDefault="004F1E07" w:rsidP="007B75C3">
      <w:pPr>
        <w:pBdr>
          <w:top w:val="nil"/>
          <w:left w:val="nil"/>
          <w:bottom w:val="nil"/>
          <w:right w:val="nil"/>
          <w:between w:val="nil"/>
        </w:pBdr>
        <w:spacing w:after="200" w:line="276" w:lineRule="auto"/>
        <w:rPr>
          <w:rFonts w:ascii="Arial" w:eastAsia="Arial" w:hAnsi="Arial" w:cs="Arial"/>
          <w:sz w:val="22"/>
          <w:szCs w:val="22"/>
          <w:lang w:val="vi-VN"/>
        </w:rPr>
      </w:pPr>
      <w:r>
        <w:rPr>
          <w:rFonts w:ascii="Arial" w:eastAsia="Arial" w:hAnsi="Arial" w:cs="Arial"/>
          <w:sz w:val="22"/>
          <w:szCs w:val="22"/>
        </w:rPr>
        <w:t>Từ</w:t>
      </w:r>
      <w:r>
        <w:rPr>
          <w:rFonts w:ascii="Arial" w:eastAsia="Arial" w:hAnsi="Arial" w:cs="Arial"/>
          <w:sz w:val="22"/>
          <w:szCs w:val="22"/>
          <w:lang w:val="vi-VN"/>
        </w:rPr>
        <w:t xml:space="preserve"> ngày 01/11/2025 đến 15:00 ngày 22/11/2025, tất cả các khách hàng ký hợp đồng mua xe Ford sẽ nhận được 01 phiếu bốc thăm trúng thưởng của chương trình</w:t>
      </w:r>
      <w:r w:rsidR="001A291E">
        <w:rPr>
          <w:rFonts w:ascii="Arial" w:eastAsia="Arial" w:hAnsi="Arial" w:cs="Arial"/>
          <w:sz w:val="22"/>
          <w:szCs w:val="22"/>
          <w:lang w:val="vi-VN"/>
        </w:rPr>
        <w:t xml:space="preserve"> </w:t>
      </w:r>
      <w:r w:rsidR="001A291E">
        <w:rPr>
          <w:rFonts w:ascii="Arial" w:eastAsia="Arial" w:hAnsi="Arial" w:cs="Arial"/>
          <w:sz w:val="22"/>
          <w:szCs w:val="22"/>
        </w:rPr>
        <w:t>"</w:t>
      </w:r>
      <w:r w:rsidR="001A291E">
        <w:rPr>
          <w:rFonts w:ascii="Arial" w:eastAsia="Arial" w:hAnsi="Arial" w:cs="Arial"/>
          <w:sz w:val="22"/>
          <w:szCs w:val="22"/>
          <w:lang w:val="vi-VN"/>
        </w:rPr>
        <w:t>T</w:t>
      </w:r>
      <w:r w:rsidR="001A291E">
        <w:rPr>
          <w:rFonts w:ascii="Arial" w:eastAsia="Arial" w:hAnsi="Arial" w:cs="Arial"/>
          <w:sz w:val="22"/>
          <w:szCs w:val="22"/>
        </w:rPr>
        <w:t xml:space="preserve">hời điểm </w:t>
      </w:r>
      <w:r w:rsidR="001A291E">
        <w:rPr>
          <w:rFonts w:ascii="Arial" w:eastAsia="Arial" w:hAnsi="Arial" w:cs="Arial"/>
          <w:sz w:val="22"/>
          <w:szCs w:val="22"/>
          <w:lang w:val="vi-VN"/>
        </w:rPr>
        <w:t>V</w:t>
      </w:r>
      <w:r w:rsidR="001A291E">
        <w:rPr>
          <w:rFonts w:ascii="Arial" w:eastAsia="Arial" w:hAnsi="Arial" w:cs="Arial"/>
          <w:sz w:val="22"/>
          <w:szCs w:val="22"/>
        </w:rPr>
        <w:t xml:space="preserve">àng mua xe </w:t>
      </w:r>
      <w:r w:rsidR="001A291E">
        <w:rPr>
          <w:rFonts w:ascii="Arial" w:eastAsia="Arial" w:hAnsi="Arial" w:cs="Arial"/>
          <w:sz w:val="22"/>
          <w:szCs w:val="22"/>
          <w:lang w:val="vi-VN"/>
        </w:rPr>
        <w:t>F</w:t>
      </w:r>
      <w:r w:rsidR="001A291E">
        <w:rPr>
          <w:rFonts w:ascii="Arial" w:eastAsia="Arial" w:hAnsi="Arial" w:cs="Arial"/>
          <w:sz w:val="22"/>
          <w:szCs w:val="22"/>
        </w:rPr>
        <w:t>ord"</w:t>
      </w:r>
      <w:r>
        <w:rPr>
          <w:rFonts w:ascii="Arial" w:eastAsia="Arial" w:hAnsi="Arial" w:cs="Arial"/>
          <w:sz w:val="22"/>
          <w:szCs w:val="22"/>
          <w:lang w:val="vi-VN"/>
        </w:rPr>
        <w:t xml:space="preserve">. </w:t>
      </w:r>
      <w:r w:rsidR="00744935">
        <w:rPr>
          <w:rFonts w:ascii="Arial" w:eastAsia="Arial" w:hAnsi="Arial" w:cs="Arial"/>
          <w:sz w:val="22"/>
          <w:szCs w:val="22"/>
          <w:lang w:val="vi-VN"/>
        </w:rPr>
        <w:t>T</w:t>
      </w:r>
      <w:r w:rsidR="00744935" w:rsidRPr="00744935">
        <w:rPr>
          <w:rFonts w:ascii="Arial" w:eastAsia="Arial" w:hAnsi="Arial" w:cs="Arial"/>
          <w:sz w:val="22"/>
          <w:szCs w:val="22"/>
        </w:rPr>
        <w:t>ừ 15:30 đến 18:00 ngày 22 tháng 11 năm 2025</w:t>
      </w:r>
      <w:r w:rsidR="00744935">
        <w:rPr>
          <w:rFonts w:ascii="Arial" w:eastAsia="Arial" w:hAnsi="Arial" w:cs="Arial"/>
          <w:sz w:val="22"/>
          <w:szCs w:val="22"/>
          <w:lang w:val="vi-VN"/>
        </w:rPr>
        <w:t xml:space="preserve">, sự kiện bốc thăm trúng thưởng </w:t>
      </w:r>
      <w:r w:rsidR="00744935">
        <w:rPr>
          <w:rFonts w:ascii="Arial" w:eastAsia="Arial" w:hAnsi="Arial" w:cs="Arial"/>
          <w:sz w:val="22"/>
          <w:szCs w:val="22"/>
        </w:rPr>
        <w:t>sẽ</w:t>
      </w:r>
      <w:r w:rsidR="00744935">
        <w:rPr>
          <w:rFonts w:ascii="Arial" w:eastAsia="Arial" w:hAnsi="Arial" w:cs="Arial"/>
          <w:sz w:val="22"/>
          <w:szCs w:val="22"/>
          <w:lang w:val="vi-VN"/>
        </w:rPr>
        <w:t xml:space="preserve"> được diễn ra tại </w:t>
      </w:r>
      <w:r w:rsidR="00744935" w:rsidRPr="00744935">
        <w:rPr>
          <w:rFonts w:ascii="Arial" w:eastAsia="Arial" w:hAnsi="Arial" w:cs="Arial"/>
          <w:sz w:val="22"/>
          <w:szCs w:val="22"/>
          <w:lang w:val="vi-VN"/>
        </w:rPr>
        <w:t>các Đại lý Ủy quyền của Ford Việt Nam trên toàn quốc</w:t>
      </w:r>
      <w:r w:rsidR="00744935">
        <w:rPr>
          <w:rFonts w:ascii="Arial" w:eastAsia="Arial" w:hAnsi="Arial" w:cs="Arial"/>
          <w:sz w:val="22"/>
          <w:szCs w:val="22"/>
          <w:lang w:val="vi-VN"/>
        </w:rPr>
        <w:t>.</w:t>
      </w:r>
    </w:p>
    <w:p w14:paraId="6D0BB301" w14:textId="2258DD2E" w:rsidR="00744935" w:rsidRDefault="00744935" w:rsidP="007B75C3">
      <w:pPr>
        <w:pBdr>
          <w:top w:val="nil"/>
          <w:left w:val="nil"/>
          <w:bottom w:val="nil"/>
          <w:right w:val="nil"/>
          <w:between w:val="nil"/>
        </w:pBdr>
        <w:spacing w:after="200" w:line="276" w:lineRule="auto"/>
        <w:rPr>
          <w:rFonts w:ascii="Arial" w:eastAsia="Arial" w:hAnsi="Arial" w:cs="Arial"/>
          <w:sz w:val="22"/>
          <w:szCs w:val="22"/>
          <w:lang w:val="vi-VN"/>
        </w:rPr>
      </w:pPr>
      <w:r>
        <w:rPr>
          <w:rFonts w:ascii="Arial" w:eastAsia="Arial" w:hAnsi="Arial" w:cs="Arial"/>
          <w:sz w:val="22"/>
          <w:szCs w:val="22"/>
          <w:lang w:val="vi-VN"/>
        </w:rPr>
        <w:t xml:space="preserve">Chương trình “Thời điểm Vàng mua xe Ford” mang đến cho khách hàng </w:t>
      </w:r>
      <w:r w:rsidRPr="007B75C3">
        <w:rPr>
          <w:rFonts w:ascii="Arial" w:eastAsia="Arial" w:hAnsi="Arial" w:cs="Arial"/>
          <w:sz w:val="22"/>
          <w:szCs w:val="22"/>
          <w:lang w:val="vi-VN"/>
        </w:rPr>
        <w:t xml:space="preserve">hơn </w:t>
      </w:r>
      <w:r w:rsidR="00EB04EF" w:rsidRPr="007B75C3">
        <w:rPr>
          <w:rFonts w:ascii="Arial" w:eastAsia="Arial" w:hAnsi="Arial" w:cs="Arial"/>
          <w:sz w:val="22"/>
          <w:szCs w:val="22"/>
          <w:lang w:val="vi-VN"/>
        </w:rPr>
        <w:t>một ngàn giải vàng là</w:t>
      </w:r>
      <w:r w:rsidRPr="007B75C3">
        <w:rPr>
          <w:rFonts w:ascii="Arial" w:eastAsia="Arial" w:hAnsi="Arial" w:cs="Arial"/>
          <w:sz w:val="22"/>
          <w:szCs w:val="22"/>
          <w:lang w:val="vi-VN"/>
        </w:rPr>
        <w:t xml:space="preserve"> Phiếu mua vàng</w:t>
      </w:r>
      <w:r w:rsidR="00EB04EF" w:rsidRPr="007B75C3">
        <w:rPr>
          <w:rFonts w:ascii="Arial" w:eastAsia="Arial" w:hAnsi="Arial" w:cs="Arial"/>
          <w:sz w:val="22"/>
          <w:szCs w:val="22"/>
          <w:lang w:val="vi-VN"/>
        </w:rPr>
        <w:t xml:space="preserve"> và trang sức và nhiều quà tặng hấp dẫn, </w:t>
      </w:r>
      <w:r w:rsidRPr="007B75C3">
        <w:rPr>
          <w:rFonts w:ascii="Arial" w:eastAsia="Arial" w:hAnsi="Arial" w:cs="Arial"/>
          <w:sz w:val="22"/>
          <w:szCs w:val="22"/>
          <w:lang w:val="vi-VN"/>
        </w:rPr>
        <w:t>với tổng giá trị giải thưởng</w:t>
      </w:r>
      <w:r w:rsidR="00EB04EF" w:rsidRPr="007B75C3">
        <w:rPr>
          <w:rFonts w:ascii="Arial" w:eastAsia="Arial" w:hAnsi="Arial" w:cs="Arial"/>
          <w:sz w:val="22"/>
          <w:szCs w:val="22"/>
          <w:lang w:val="vi-VN"/>
        </w:rPr>
        <w:t xml:space="preserve"> hơn 7 </w:t>
      </w:r>
      <w:r w:rsidRPr="007B75C3">
        <w:rPr>
          <w:rFonts w:ascii="Arial" w:eastAsia="Arial" w:hAnsi="Arial" w:cs="Arial"/>
          <w:sz w:val="22"/>
          <w:szCs w:val="22"/>
          <w:lang w:val="vi-VN"/>
        </w:rPr>
        <w:t>tỷ đồng.</w:t>
      </w:r>
      <w:r>
        <w:rPr>
          <w:rFonts w:ascii="Arial" w:eastAsia="Arial" w:hAnsi="Arial" w:cs="Arial"/>
          <w:sz w:val="22"/>
          <w:szCs w:val="22"/>
          <w:lang w:val="vi-VN"/>
        </w:rPr>
        <w:t xml:space="preserve"> </w:t>
      </w:r>
    </w:p>
    <w:p w14:paraId="74DF26AB" w14:textId="76914D87" w:rsidR="00BD7011" w:rsidRPr="00213DFE" w:rsidRDefault="00BD7011" w:rsidP="007B75C3">
      <w:pPr>
        <w:pBdr>
          <w:top w:val="nil"/>
          <w:left w:val="nil"/>
          <w:bottom w:val="nil"/>
          <w:right w:val="nil"/>
          <w:between w:val="nil"/>
        </w:pBdr>
        <w:spacing w:after="200" w:line="276" w:lineRule="auto"/>
        <w:rPr>
          <w:rFonts w:ascii="Arial" w:eastAsia="Arial" w:hAnsi="Arial" w:cs="Arial"/>
          <w:sz w:val="22"/>
          <w:szCs w:val="22"/>
          <w:lang w:val="vi-VN"/>
        </w:rPr>
      </w:pPr>
      <w:r>
        <w:rPr>
          <w:rFonts w:ascii="Arial" w:eastAsia="Arial" w:hAnsi="Arial" w:cs="Arial"/>
          <w:sz w:val="22"/>
          <w:szCs w:val="22"/>
        </w:rPr>
        <w:t>Cơ cấu giải thưởng bao gồm</w:t>
      </w:r>
      <w:r>
        <w:rPr>
          <w:rFonts w:ascii="Arial" w:eastAsia="Arial" w:hAnsi="Arial" w:cs="Arial"/>
          <w:sz w:val="22"/>
          <w:szCs w:val="22"/>
          <w:lang w:val="vi-VN"/>
        </w:rPr>
        <w:t>:</w:t>
      </w:r>
      <w:r>
        <w:rPr>
          <w:rFonts w:ascii="Arial" w:eastAsia="Arial" w:hAnsi="Arial" w:cs="Arial"/>
          <w:sz w:val="22"/>
          <w:szCs w:val="22"/>
        </w:rPr>
        <w:t xml:space="preserve"> </w:t>
      </w:r>
      <w:r>
        <w:rPr>
          <w:rFonts w:ascii="Arial" w:eastAsia="Arial" w:hAnsi="Arial" w:cs="Arial"/>
          <w:sz w:val="22"/>
          <w:szCs w:val="22"/>
          <w:lang w:val="vi-VN"/>
        </w:rPr>
        <w:t xml:space="preserve">03 </w:t>
      </w:r>
      <w:r>
        <w:rPr>
          <w:rFonts w:ascii="Arial" w:eastAsia="Arial" w:hAnsi="Arial" w:cs="Arial"/>
          <w:sz w:val="22"/>
          <w:szCs w:val="22"/>
        </w:rPr>
        <w:t>Giải Đặc biệt</w:t>
      </w:r>
      <w:r>
        <w:rPr>
          <w:rFonts w:ascii="Arial" w:eastAsia="Arial" w:hAnsi="Arial" w:cs="Arial"/>
          <w:sz w:val="22"/>
          <w:szCs w:val="22"/>
          <w:lang w:val="vi-VN"/>
        </w:rPr>
        <w:t>, mỗi giải trị giá</w:t>
      </w:r>
      <w:r>
        <w:rPr>
          <w:rFonts w:ascii="Arial" w:eastAsia="Arial" w:hAnsi="Arial" w:cs="Arial"/>
          <w:sz w:val="22"/>
          <w:szCs w:val="22"/>
        </w:rPr>
        <w:t xml:space="preserve"> 75.000.000 VNĐ; 50 Giải Nhất, mỗi giải là trị giá 30.000.000 VNĐ; 50 Giải Nhì, mỗi giải trị giá 15.000.000 VNĐ; và 250 Giải Ba, mỗi giải là trị giá 7.500.000 VNĐ. Bên cạnh đó là 750 giải thưởng khác, trị giá 3.000.000 VNĐ và 1.500.000 VNĐ.</w:t>
      </w:r>
      <w:r w:rsidR="00213DFE">
        <w:rPr>
          <w:rFonts w:ascii="Arial" w:eastAsia="Arial" w:hAnsi="Arial" w:cs="Arial"/>
          <w:sz w:val="22"/>
          <w:szCs w:val="22"/>
          <w:lang w:val="vi-VN"/>
        </w:rPr>
        <w:t xml:space="preserve"> </w:t>
      </w:r>
      <w:r w:rsidR="00213DFE" w:rsidRPr="007B75C3">
        <w:rPr>
          <w:rFonts w:ascii="Arial" w:eastAsia="Arial" w:hAnsi="Arial" w:cs="Arial"/>
          <w:sz w:val="22"/>
          <w:szCs w:val="22"/>
          <w:lang w:val="vi-VN"/>
        </w:rPr>
        <w:t>Các khách hàng mua xe trong thời gian diễn ra chương trình nhưng không trúng giải vàng sẽ nhận được Phiếu mua nhiên liệu trị giá 500,000VNĐ.</w:t>
      </w:r>
    </w:p>
    <w:p w14:paraId="109732BB" w14:textId="3F58190C" w:rsidR="00744935" w:rsidRDefault="00744935" w:rsidP="007B75C3">
      <w:pPr>
        <w:tabs>
          <w:tab w:val="left" w:pos="709"/>
        </w:tabs>
        <w:spacing w:line="312" w:lineRule="auto"/>
        <w:rPr>
          <w:rFonts w:ascii="Arial" w:hAnsi="Arial" w:cs="Arial"/>
          <w:bCs/>
          <w:sz w:val="22"/>
          <w:szCs w:val="22"/>
          <w:lang w:val="vi-VN"/>
        </w:rPr>
      </w:pPr>
      <w:r w:rsidRPr="00744935">
        <w:rPr>
          <w:rFonts w:ascii="Arial" w:eastAsia="Arial" w:hAnsi="Arial" w:cs="Arial"/>
          <w:sz w:val="22"/>
          <w:szCs w:val="22"/>
          <w:lang w:val="vi-VN"/>
        </w:rPr>
        <w:t>Để nhận được quà</w:t>
      </w:r>
      <w:r>
        <w:rPr>
          <w:rFonts w:ascii="Arial" w:eastAsia="Arial" w:hAnsi="Arial" w:cs="Arial"/>
          <w:sz w:val="22"/>
          <w:szCs w:val="22"/>
          <w:lang w:val="vi-VN"/>
        </w:rPr>
        <w:t xml:space="preserve">, </w:t>
      </w:r>
      <w:r w:rsidRPr="00744935">
        <w:rPr>
          <w:rFonts w:ascii="Arial" w:eastAsia="Arial" w:hAnsi="Arial" w:cs="Arial"/>
          <w:sz w:val="22"/>
          <w:szCs w:val="22"/>
          <w:lang w:val="vi-VN"/>
        </w:rPr>
        <w:t>khách hàng phải hoàn thành việc mua xe (</w:t>
      </w:r>
      <w:r w:rsidRPr="0041093D">
        <w:rPr>
          <w:rFonts w:ascii="Arial" w:hAnsi="Arial" w:cs="Arial"/>
          <w:bCs/>
          <w:sz w:val="22"/>
          <w:szCs w:val="22"/>
        </w:rPr>
        <w:t xml:space="preserve">thanh toán 100% giá trị xe </w:t>
      </w:r>
      <w:r>
        <w:rPr>
          <w:rFonts w:ascii="Arial" w:hAnsi="Arial" w:cs="Arial"/>
          <w:bCs/>
          <w:sz w:val="22"/>
          <w:szCs w:val="22"/>
        </w:rPr>
        <w:t>chậm</w:t>
      </w:r>
      <w:r>
        <w:rPr>
          <w:rFonts w:ascii="Arial" w:hAnsi="Arial" w:cs="Arial"/>
          <w:bCs/>
          <w:sz w:val="22"/>
          <w:szCs w:val="22"/>
          <w:lang w:val="vi-VN"/>
        </w:rPr>
        <w:t xml:space="preserve"> nhất</w:t>
      </w:r>
      <w:r w:rsidRPr="00744935">
        <w:rPr>
          <w:rFonts w:ascii="Arial" w:eastAsia="Arial" w:hAnsi="Arial" w:cs="Arial"/>
          <w:sz w:val="22"/>
          <w:szCs w:val="22"/>
          <w:lang w:val="vi-VN"/>
        </w:rPr>
        <w:t xml:space="preserve"> vào ngày 30 tháng 11 năm 2025</w:t>
      </w:r>
      <w:r>
        <w:rPr>
          <w:rFonts w:ascii="Arial" w:eastAsia="Arial" w:hAnsi="Arial" w:cs="Arial"/>
          <w:sz w:val="22"/>
          <w:szCs w:val="22"/>
          <w:lang w:val="vi-VN"/>
        </w:rPr>
        <w:t xml:space="preserve">). </w:t>
      </w:r>
      <w:r w:rsidRPr="0041093D">
        <w:rPr>
          <w:rFonts w:ascii="Arial" w:hAnsi="Arial" w:cs="Arial"/>
          <w:bCs/>
          <w:sz w:val="22"/>
          <w:szCs w:val="22"/>
        </w:rPr>
        <w:t>Chương trình áp dụng với mọi dòng xe của Ford.</w:t>
      </w:r>
    </w:p>
    <w:p w14:paraId="08D0EF08" w14:textId="77777777" w:rsidR="00213DFE" w:rsidRPr="00213DFE" w:rsidRDefault="00213DFE" w:rsidP="007B75C3">
      <w:pPr>
        <w:tabs>
          <w:tab w:val="left" w:pos="709"/>
        </w:tabs>
        <w:spacing w:line="312" w:lineRule="auto"/>
        <w:rPr>
          <w:rFonts w:ascii="Arial" w:hAnsi="Arial" w:cs="Arial"/>
          <w:bCs/>
          <w:sz w:val="22"/>
          <w:szCs w:val="22"/>
          <w:lang w:val="vi-VN"/>
        </w:rPr>
      </w:pPr>
    </w:p>
    <w:p w14:paraId="74707E46" w14:textId="77777777" w:rsidR="00D83B93" w:rsidRPr="00211671" w:rsidRDefault="007B75C3" w:rsidP="00D83B93">
      <w:pPr>
        <w:tabs>
          <w:tab w:val="left" w:pos="709"/>
        </w:tabs>
        <w:spacing w:line="312" w:lineRule="auto"/>
        <w:rPr>
          <w:rFonts w:ascii="Arial" w:hAnsi="Arial" w:cs="Arial"/>
          <w:bCs/>
          <w:sz w:val="22"/>
          <w:szCs w:val="22"/>
          <w:lang w:val="vi-VN"/>
        </w:rPr>
      </w:pPr>
      <w:r w:rsidRPr="00211671">
        <w:rPr>
          <w:rFonts w:ascii="Arial" w:hAnsi="Arial" w:cs="Arial"/>
          <w:bCs/>
          <w:sz w:val="22"/>
          <w:szCs w:val="22"/>
          <w:lang w:val="vi-VN"/>
        </w:rPr>
        <w:t xml:space="preserve">Bên cạnh đó, </w:t>
      </w:r>
      <w:r w:rsidR="00D83B93" w:rsidRPr="00211671">
        <w:rPr>
          <w:rFonts w:ascii="Arial" w:hAnsi="Arial" w:cs="Arial"/>
          <w:bCs/>
          <w:sz w:val="22"/>
          <w:szCs w:val="22"/>
          <w:lang w:val="vi-VN"/>
        </w:rPr>
        <w:t>chương trình ưu đãi lên đến 100% lệ phí trước bạ tiếp tục được nối dài. Từ ngày 1/11 đến 30/11/2025, khách hàng khi mua xe Ford tại hệ thống đại lý chính hãng trên</w:t>
      </w:r>
    </w:p>
    <w:p w14:paraId="5414AD8B" w14:textId="504E4A07" w:rsidR="00EB04EF" w:rsidRPr="00211671" w:rsidRDefault="00D83B93" w:rsidP="00D83B93">
      <w:pPr>
        <w:tabs>
          <w:tab w:val="left" w:pos="709"/>
        </w:tabs>
        <w:spacing w:line="312" w:lineRule="auto"/>
        <w:rPr>
          <w:rFonts w:ascii="Arial" w:hAnsi="Arial" w:cs="Arial"/>
          <w:bCs/>
          <w:sz w:val="22"/>
          <w:szCs w:val="22"/>
          <w:lang w:val="vi-VN"/>
        </w:rPr>
      </w:pPr>
      <w:r w:rsidRPr="00211671">
        <w:rPr>
          <w:rFonts w:ascii="Arial" w:hAnsi="Arial" w:cs="Arial"/>
          <w:bCs/>
          <w:sz w:val="22"/>
          <w:szCs w:val="22"/>
          <w:lang w:val="vi-VN"/>
        </w:rPr>
        <w:t>toàn quốc sẽ nhận được mức hỗ trợ lệ phí trước bạ lên đến 100%, cùng nhiều quà tặng giá trị khác</w:t>
      </w:r>
      <w:r w:rsidR="00744B85" w:rsidRPr="00211671">
        <w:rPr>
          <w:rFonts w:ascii="Arial" w:hAnsi="Arial" w:cs="Arial"/>
          <w:bCs/>
          <w:sz w:val="22"/>
          <w:szCs w:val="22"/>
          <w:lang w:val="vi-VN"/>
        </w:rPr>
        <w:t xml:space="preserve"> tuỳ theo từng dòng xe. </w:t>
      </w:r>
    </w:p>
    <w:p w14:paraId="10437F52" w14:textId="36B88CCA" w:rsidR="00744B85" w:rsidRPr="00211671" w:rsidRDefault="00744B85" w:rsidP="00D83B93">
      <w:pPr>
        <w:tabs>
          <w:tab w:val="left" w:pos="709"/>
        </w:tabs>
        <w:spacing w:line="312" w:lineRule="auto"/>
        <w:rPr>
          <w:rFonts w:ascii="Arial" w:hAnsi="Arial" w:cs="Arial"/>
          <w:bCs/>
          <w:sz w:val="22"/>
          <w:szCs w:val="22"/>
          <w:lang w:val="vi-VN"/>
        </w:rPr>
      </w:pPr>
    </w:p>
    <w:p w14:paraId="06B61842" w14:textId="08E2EFCA" w:rsidR="00744B85" w:rsidRPr="00211671" w:rsidRDefault="00744B85" w:rsidP="00D83B93">
      <w:pPr>
        <w:tabs>
          <w:tab w:val="left" w:pos="709"/>
        </w:tabs>
        <w:spacing w:line="312" w:lineRule="auto"/>
        <w:rPr>
          <w:rFonts w:ascii="Arial" w:hAnsi="Arial" w:cs="Arial"/>
          <w:bCs/>
          <w:sz w:val="22"/>
          <w:szCs w:val="22"/>
          <w:lang w:val="vi-VN"/>
        </w:rPr>
      </w:pPr>
      <w:r w:rsidRPr="00211671">
        <w:rPr>
          <w:rFonts w:ascii="Arial" w:hAnsi="Arial" w:cs="Arial"/>
          <w:bCs/>
          <w:sz w:val="22"/>
          <w:szCs w:val="22"/>
          <w:lang w:val="vi-VN"/>
        </w:rPr>
        <w:t xml:space="preserve">Cụ thể, Ford Ranger được hỗ trợ 50% lệ phí trước bạ cho phiên bản XL và 100% lệ phí trước bạ cho các phiên bản Stormtrak, Wildtrak, Raptor và Ranger XLS (XLS 4x2 / XLS 4x4). Với </w:t>
      </w:r>
      <w:r w:rsidRPr="00211671">
        <w:rPr>
          <w:rFonts w:ascii="Arial" w:hAnsi="Arial" w:cs="Arial"/>
          <w:bCs/>
          <w:sz w:val="22"/>
          <w:szCs w:val="22"/>
          <w:lang w:val="vi-VN"/>
        </w:rPr>
        <w:lastRenderedPageBreak/>
        <w:t>Ford Everest, khách hàng sẽ nhận được 2 năm bảo hiểm vật chất và camera hành trình Mozhu S3 với tổng trị giá đến 34 triệu đồng cho bản Titanium 4x4 và 30 triệu đồng cho bản Titanium 4x2, hoặc gói dán phim cách nhiệt 3M cao cấp Ford Advanced trị giá 10 triệu đồng dành cho bản Ambient, Sport và Sport Special Edition. Trong khi đó, Transit Trend và Transit Premium 16 chỗ cũng được hỗ trợ 100% lệ phí trước bạ, giúp khách hàng tối ưu chi phí đầu tư ban đầu.</w:t>
      </w:r>
    </w:p>
    <w:p w14:paraId="25AEA490" w14:textId="77777777" w:rsidR="00744B85" w:rsidRPr="00211671" w:rsidRDefault="00744B85" w:rsidP="00D83B93">
      <w:pPr>
        <w:tabs>
          <w:tab w:val="left" w:pos="709"/>
        </w:tabs>
        <w:spacing w:line="312" w:lineRule="auto"/>
        <w:rPr>
          <w:rFonts w:ascii="Arial" w:hAnsi="Arial" w:cs="Arial"/>
          <w:bCs/>
          <w:sz w:val="22"/>
          <w:szCs w:val="22"/>
          <w:lang w:val="vi-VN"/>
        </w:rPr>
      </w:pPr>
    </w:p>
    <w:p w14:paraId="5628A5AD" w14:textId="77777777" w:rsidR="00744B85" w:rsidRPr="00211671" w:rsidRDefault="00744B85" w:rsidP="00744B85">
      <w:pPr>
        <w:tabs>
          <w:tab w:val="left" w:pos="709"/>
        </w:tabs>
        <w:spacing w:line="312" w:lineRule="auto"/>
        <w:rPr>
          <w:rFonts w:ascii="Arial" w:hAnsi="Arial" w:cs="Arial"/>
          <w:bCs/>
          <w:sz w:val="22"/>
          <w:szCs w:val="22"/>
          <w:lang w:val="vi-VN"/>
        </w:rPr>
      </w:pPr>
      <w:r w:rsidRPr="00211671">
        <w:rPr>
          <w:rFonts w:ascii="Arial" w:hAnsi="Arial" w:cs="Arial"/>
          <w:bCs/>
          <w:sz w:val="22"/>
          <w:szCs w:val="22"/>
          <w:lang w:val="vi-VN"/>
        </w:rPr>
        <w:t>Hỗ trợ Lệ phí trước bạ được đóng góp bởi Ford Việt Nam và hệ thống đại lý, căn cứ trên giá</w:t>
      </w:r>
    </w:p>
    <w:p w14:paraId="7068BC68" w14:textId="65985F64" w:rsidR="00744B85" w:rsidRPr="00211671" w:rsidRDefault="00744B85" w:rsidP="00744B85">
      <w:pPr>
        <w:tabs>
          <w:tab w:val="left" w:pos="709"/>
        </w:tabs>
        <w:spacing w:line="312" w:lineRule="auto"/>
        <w:rPr>
          <w:rFonts w:ascii="Arial" w:hAnsi="Arial" w:cs="Arial"/>
          <w:bCs/>
          <w:sz w:val="22"/>
          <w:szCs w:val="22"/>
          <w:lang w:val="vi-VN"/>
        </w:rPr>
      </w:pPr>
      <w:r w:rsidRPr="00211671">
        <w:rPr>
          <w:rFonts w:ascii="Arial" w:hAnsi="Arial" w:cs="Arial"/>
          <w:bCs/>
          <w:sz w:val="22"/>
          <w:szCs w:val="22"/>
          <w:lang w:val="vi-VN"/>
        </w:rPr>
        <w:t>bán lẻ khuyến nghị của Ford Việt Nam và lệ phí trước bạ 6% cho xe bán tải, 2% cho xe du</w:t>
      </w:r>
    </w:p>
    <w:p w14:paraId="73ED65E8" w14:textId="7D10C475" w:rsidR="00744B85" w:rsidRPr="00EB04EF" w:rsidRDefault="00744B85" w:rsidP="00744B85">
      <w:pPr>
        <w:tabs>
          <w:tab w:val="left" w:pos="709"/>
        </w:tabs>
        <w:spacing w:line="312" w:lineRule="auto"/>
        <w:rPr>
          <w:rFonts w:ascii="Arial" w:hAnsi="Arial" w:cs="Arial"/>
          <w:bCs/>
          <w:sz w:val="22"/>
          <w:szCs w:val="22"/>
          <w:lang w:val="vi-VN"/>
        </w:rPr>
      </w:pPr>
      <w:r w:rsidRPr="00211671">
        <w:rPr>
          <w:rFonts w:ascii="Arial" w:hAnsi="Arial" w:cs="Arial"/>
          <w:bCs/>
          <w:sz w:val="22"/>
          <w:szCs w:val="22"/>
          <w:lang w:val="vi-VN"/>
        </w:rPr>
        <w:t>lịch, áp dụng chung cho tất cả các tỉnh thành.</w:t>
      </w:r>
    </w:p>
    <w:p w14:paraId="78432D38" w14:textId="77777777" w:rsidR="009A6BDD" w:rsidRPr="00ED2AE1" w:rsidRDefault="00ED2AE1" w:rsidP="007B75C3">
      <w:pPr>
        <w:spacing w:before="240" w:after="240" w:line="276" w:lineRule="auto"/>
        <w:rPr>
          <w:rFonts w:ascii="Arial" w:eastAsia="Arial" w:hAnsi="Arial" w:cs="Arial"/>
          <w:sz w:val="22"/>
          <w:szCs w:val="22"/>
          <w:lang w:val="vi-VN"/>
        </w:rPr>
      </w:pPr>
      <w:bookmarkStart w:id="0" w:name="_8755txnsy3jk" w:colFirst="0" w:colLast="0"/>
      <w:bookmarkEnd w:id="0"/>
      <w:r w:rsidRPr="00ED2AE1">
        <w:rPr>
          <w:rFonts w:ascii="Arial" w:eastAsia="Arial" w:hAnsi="Arial" w:cs="Arial"/>
          <w:sz w:val="22"/>
          <w:szCs w:val="22"/>
        </w:rPr>
        <w:t>Với “Thời Điểm Vàng Mua Xe Ford”, Ford Việt Nam tiếp tục khẳng định cam kết đặt khách hàng làm trọng tâm, mang đến những chương trình thiết thực</w:t>
      </w:r>
      <w:r>
        <w:rPr>
          <w:rFonts w:ascii="Arial" w:eastAsia="Arial" w:hAnsi="Arial" w:cs="Arial"/>
          <w:sz w:val="22"/>
          <w:szCs w:val="22"/>
          <w:lang w:val="vi-VN"/>
        </w:rPr>
        <w:t xml:space="preserve"> và mang xe Ford đến gần hơn với khách hàng. </w:t>
      </w:r>
      <w:r w:rsidRPr="00ED2AE1">
        <w:rPr>
          <w:rFonts w:ascii="Arial" w:eastAsia="Arial" w:hAnsi="Arial" w:cs="Arial"/>
          <w:sz w:val="22"/>
          <w:szCs w:val="22"/>
          <w:lang w:val="vi-VN"/>
        </w:rPr>
        <w:t xml:space="preserve">Mỗi chiếc xe được bàn giao trong dịp này không chỉ là phương tiện di chuyển, mà còn là biểu tượng của sự khởi đầu mới nơi khách hàng và Ford cùng </w:t>
      </w:r>
      <w:r>
        <w:rPr>
          <w:rFonts w:ascii="Arial" w:eastAsia="Arial" w:hAnsi="Arial" w:cs="Arial"/>
          <w:sz w:val="22"/>
          <w:szCs w:val="22"/>
          <w:lang w:val="vi-VN"/>
        </w:rPr>
        <w:t>đồng hành trong những</w:t>
      </w:r>
      <w:r w:rsidRPr="00ED2AE1">
        <w:rPr>
          <w:rFonts w:ascii="Arial" w:eastAsia="Arial" w:hAnsi="Arial" w:cs="Arial"/>
          <w:sz w:val="22"/>
          <w:szCs w:val="22"/>
          <w:lang w:val="vi-VN"/>
        </w:rPr>
        <w:t xml:space="preserve"> hành trình đầy cảm hứng.</w:t>
      </w:r>
    </w:p>
    <w:p w14:paraId="442ABC6C" w14:textId="77777777" w:rsidR="009A6BDD" w:rsidRDefault="009A6BDD" w:rsidP="007B75C3">
      <w:pPr>
        <w:pBdr>
          <w:top w:val="nil"/>
          <w:left w:val="nil"/>
          <w:bottom w:val="nil"/>
          <w:right w:val="nil"/>
          <w:between w:val="nil"/>
        </w:pBdr>
        <w:spacing w:after="200" w:line="276" w:lineRule="auto"/>
        <w:jc w:val="center"/>
        <w:rPr>
          <w:color w:val="000000"/>
          <w:sz w:val="24"/>
          <w:szCs w:val="24"/>
        </w:rPr>
      </w:pPr>
      <w:r>
        <w:rPr>
          <w:rFonts w:ascii="Arial" w:eastAsia="Arial" w:hAnsi="Arial" w:cs="Arial"/>
          <w:color w:val="000000"/>
          <w:sz w:val="22"/>
          <w:szCs w:val="22"/>
        </w:rPr>
        <w:t># # #</w:t>
      </w:r>
    </w:p>
    <w:p w14:paraId="368B5779" w14:textId="77777777" w:rsidR="009A6BDD" w:rsidRDefault="009A6BDD" w:rsidP="007B75C3">
      <w:pPr>
        <w:pBdr>
          <w:top w:val="nil"/>
          <w:left w:val="nil"/>
          <w:bottom w:val="nil"/>
          <w:right w:val="nil"/>
          <w:between w:val="nil"/>
        </w:pBdr>
        <w:rPr>
          <w:rFonts w:ascii="Arial" w:eastAsia="Arial" w:hAnsi="Arial" w:cs="Arial"/>
          <w:b/>
          <w:i/>
          <w:color w:val="000000"/>
        </w:rPr>
      </w:pPr>
      <w:r>
        <w:rPr>
          <w:rFonts w:ascii="Arial" w:eastAsia="Arial" w:hAnsi="Arial" w:cs="Arial"/>
          <w:b/>
          <w:i/>
          <w:color w:val="000000"/>
        </w:rPr>
        <w:t>Về công ty Ford Motor</w:t>
      </w:r>
    </w:p>
    <w:p w14:paraId="1AA78770" w14:textId="77777777" w:rsidR="009A6BDD" w:rsidRDefault="009A6BDD" w:rsidP="007B75C3">
      <w:pPr>
        <w:pBdr>
          <w:top w:val="nil"/>
          <w:left w:val="nil"/>
          <w:bottom w:val="nil"/>
          <w:right w:val="nil"/>
          <w:between w:val="nil"/>
        </w:pBdr>
        <w:rPr>
          <w:rFonts w:ascii="Arial" w:eastAsia="Arial" w:hAnsi="Arial" w:cs="Arial"/>
          <w:i/>
          <w:color w:val="000000"/>
        </w:rPr>
      </w:pPr>
    </w:p>
    <w:p w14:paraId="28039C4B" w14:textId="1531A47A" w:rsidR="009A6BDD" w:rsidRDefault="009A6BDD" w:rsidP="007B75C3">
      <w:pPr>
        <w:rPr>
          <w:rFonts w:ascii="Arial" w:eastAsia="Arial" w:hAnsi="Arial" w:cs="Arial"/>
          <w:i/>
          <w:color w:val="000000"/>
        </w:rPr>
      </w:pPr>
      <w:r>
        <w:rPr>
          <w:rFonts w:ascii="Arial" w:eastAsia="Arial" w:hAnsi="Arial" w:cs="Arial"/>
          <w:i/>
          <w:color w:val="000000"/>
        </w:rPr>
        <w:t xml:space="preserve">Ford Motor Company (NYSE: F) là một công ty toàn cầu có trụ sở tại Dearborn, Michigan, cam kết giúp xây dựng một thế giới tốt đẹp hơn, nơi mọi người được tự do di chuyển và theo đuổi ước mơ của mình. Kế hoạch Ford + của công ty nhằm tăng trưởng và tạo ra giá trị từ sự kết hợp các điểm mạnh hiện có, năng lực mới và mối quan hệ luôn bền chặt với khách hàng để làm phong phú thêm trải nghiệm và nâng cao lòng trung thành của những khách hàng đó. Ford phát triển và cung cấp các loại xe tải Ford, xe thể thao đa dụng, xe tải thương mại, xe hơi thương mại và xe hơi hạng sang Lincoln, cũng như các dịch vụ kết nối. Công ty hiện thực hóa điều này thông qua ba phân khúc kinh doanh lấy khách hàng làm trọng tâm gồm: Ford Blue, chế tạo các dòng xe xăng và xe hybrid mang tính biểu tượng về kỹ thuật; Ford Model e, phát triển các mẫu xe điện đột phá sở hữu hệ thống phần mềm đem đến những trải nghiệm số vượt trội cho khách hàng; và Ford Pro, hỗ trợ khách hàng thương mại chuyển đổi và mở rộng kinh doanh với sự đồng hành của các phương tiện và dịch vụ phù hợp với nhu cầu của họ. Ngoài ra, Ford cung cấp các dịch vụ tài chính thông qua Ford Motor Credit Company. Ford có khoảng 175.000 nhân viên trên toàn thế giới. </w:t>
      </w:r>
    </w:p>
    <w:p w14:paraId="2D8FC376" w14:textId="77777777" w:rsidR="009A6BDD" w:rsidRDefault="009A6BDD" w:rsidP="00213DFE">
      <w:pPr>
        <w:jc w:val="both"/>
        <w:rPr>
          <w:rFonts w:ascii="Arial" w:eastAsia="Arial" w:hAnsi="Arial" w:cs="Arial"/>
          <w:i/>
          <w:color w:val="000000"/>
        </w:rPr>
      </w:pPr>
    </w:p>
    <w:tbl>
      <w:tblPr>
        <w:tblW w:w="9180" w:type="dxa"/>
        <w:tblLayout w:type="fixed"/>
        <w:tblLook w:val="0400" w:firstRow="0" w:lastRow="0" w:firstColumn="0" w:lastColumn="0" w:noHBand="0" w:noVBand="1"/>
      </w:tblPr>
      <w:tblGrid>
        <w:gridCol w:w="8606"/>
        <w:gridCol w:w="287"/>
        <w:gridCol w:w="287"/>
      </w:tblGrid>
      <w:tr w:rsidR="009A6BDD" w14:paraId="4C442008" w14:textId="77777777" w:rsidTr="0073531A">
        <w:tc>
          <w:tcPr>
            <w:tcW w:w="8606" w:type="dxa"/>
            <w:tcMar>
              <w:top w:w="0" w:type="dxa"/>
              <w:left w:w="115" w:type="dxa"/>
              <w:bottom w:w="0" w:type="dxa"/>
              <w:right w:w="115" w:type="dxa"/>
            </w:tcMar>
          </w:tcPr>
          <w:p w14:paraId="7F4A5404" w14:textId="77777777" w:rsidR="009A6BDD" w:rsidRDefault="009A6BDD" w:rsidP="00213DFE">
            <w:pPr>
              <w:spacing w:line="276" w:lineRule="auto"/>
              <w:jc w:val="both"/>
              <w:rPr>
                <w:color w:val="000000"/>
              </w:rPr>
            </w:pPr>
          </w:p>
          <w:tbl>
            <w:tblPr>
              <w:tblW w:w="8940" w:type="dxa"/>
              <w:tblLayout w:type="fixed"/>
              <w:tblLook w:val="0400" w:firstRow="0" w:lastRow="0" w:firstColumn="0" w:lastColumn="0" w:noHBand="0" w:noVBand="1"/>
            </w:tblPr>
            <w:tblGrid>
              <w:gridCol w:w="1525"/>
              <w:gridCol w:w="3298"/>
              <w:gridCol w:w="4117"/>
            </w:tblGrid>
            <w:tr w:rsidR="009A6BDD" w14:paraId="184DD3D8" w14:textId="77777777" w:rsidTr="0073531A">
              <w:trPr>
                <w:trHeight w:val="1780"/>
              </w:trPr>
              <w:tc>
                <w:tcPr>
                  <w:tcW w:w="1525" w:type="dxa"/>
                  <w:tcMar>
                    <w:top w:w="0" w:type="dxa"/>
                    <w:left w:w="115" w:type="dxa"/>
                    <w:bottom w:w="0" w:type="dxa"/>
                    <w:right w:w="115" w:type="dxa"/>
                  </w:tcMar>
                </w:tcPr>
                <w:p w14:paraId="61860899" w14:textId="3BA1223A" w:rsidR="009A6BDD" w:rsidRDefault="009A6BDD" w:rsidP="00213DFE">
                  <w:pPr>
                    <w:pBdr>
                      <w:top w:val="nil"/>
                      <w:left w:val="nil"/>
                      <w:bottom w:val="nil"/>
                      <w:right w:val="nil"/>
                      <w:between w:val="nil"/>
                    </w:pBdr>
                    <w:spacing w:after="200" w:line="276" w:lineRule="auto"/>
                    <w:jc w:val="both"/>
                    <w:rPr>
                      <w:b/>
                      <w:color w:val="000000"/>
                      <w:sz w:val="24"/>
                      <w:szCs w:val="24"/>
                    </w:rPr>
                  </w:pPr>
                </w:p>
              </w:tc>
              <w:tc>
                <w:tcPr>
                  <w:tcW w:w="3298" w:type="dxa"/>
                  <w:tcMar>
                    <w:top w:w="0" w:type="dxa"/>
                    <w:left w:w="115" w:type="dxa"/>
                    <w:bottom w:w="0" w:type="dxa"/>
                    <w:right w:w="115" w:type="dxa"/>
                  </w:tcMar>
                </w:tcPr>
                <w:p w14:paraId="1437DAD7" w14:textId="1DED8201" w:rsidR="009A6BDD" w:rsidRDefault="009A6BDD" w:rsidP="00213DFE">
                  <w:pPr>
                    <w:pBdr>
                      <w:top w:val="nil"/>
                      <w:left w:val="nil"/>
                      <w:bottom w:val="nil"/>
                      <w:right w:val="nil"/>
                      <w:between w:val="nil"/>
                    </w:pBdr>
                    <w:spacing w:line="276" w:lineRule="auto"/>
                    <w:jc w:val="both"/>
                    <w:rPr>
                      <w:color w:val="000000"/>
                      <w:sz w:val="24"/>
                      <w:szCs w:val="24"/>
                    </w:rPr>
                  </w:pPr>
                </w:p>
              </w:tc>
              <w:tc>
                <w:tcPr>
                  <w:tcW w:w="4117" w:type="dxa"/>
                  <w:tcMar>
                    <w:top w:w="0" w:type="dxa"/>
                    <w:left w:w="115" w:type="dxa"/>
                    <w:bottom w:w="0" w:type="dxa"/>
                    <w:right w:w="115" w:type="dxa"/>
                  </w:tcMar>
                </w:tcPr>
                <w:p w14:paraId="6FEAA877" w14:textId="21859D3A" w:rsidR="009A6BDD" w:rsidRDefault="009A6BDD" w:rsidP="00213DFE">
                  <w:pPr>
                    <w:pBdr>
                      <w:top w:val="nil"/>
                      <w:left w:val="nil"/>
                      <w:bottom w:val="nil"/>
                      <w:right w:val="nil"/>
                      <w:between w:val="nil"/>
                    </w:pBdr>
                    <w:spacing w:line="276" w:lineRule="auto"/>
                    <w:jc w:val="both"/>
                    <w:rPr>
                      <w:color w:val="000000"/>
                      <w:sz w:val="24"/>
                      <w:szCs w:val="24"/>
                    </w:rPr>
                  </w:pPr>
                </w:p>
              </w:tc>
            </w:tr>
          </w:tbl>
          <w:p w14:paraId="7CC4CD9F" w14:textId="77777777" w:rsidR="009A6BDD" w:rsidRDefault="009A6BDD" w:rsidP="00213DFE">
            <w:pPr>
              <w:spacing w:line="276" w:lineRule="auto"/>
              <w:jc w:val="both"/>
              <w:rPr>
                <w:color w:val="000000"/>
              </w:rPr>
            </w:pPr>
          </w:p>
        </w:tc>
        <w:tc>
          <w:tcPr>
            <w:tcW w:w="287" w:type="dxa"/>
            <w:tcMar>
              <w:top w:w="0" w:type="dxa"/>
              <w:left w:w="115" w:type="dxa"/>
              <w:bottom w:w="0" w:type="dxa"/>
              <w:right w:w="115" w:type="dxa"/>
            </w:tcMar>
          </w:tcPr>
          <w:p w14:paraId="251149E5" w14:textId="77777777" w:rsidR="009A6BDD" w:rsidRDefault="009A6BDD" w:rsidP="00213DFE">
            <w:pPr>
              <w:spacing w:line="276" w:lineRule="auto"/>
              <w:jc w:val="both"/>
              <w:rPr>
                <w:color w:val="000000"/>
              </w:rPr>
            </w:pPr>
          </w:p>
        </w:tc>
        <w:tc>
          <w:tcPr>
            <w:tcW w:w="287" w:type="dxa"/>
            <w:tcMar>
              <w:top w:w="0" w:type="dxa"/>
              <w:left w:w="115" w:type="dxa"/>
              <w:bottom w:w="0" w:type="dxa"/>
              <w:right w:w="115" w:type="dxa"/>
            </w:tcMar>
          </w:tcPr>
          <w:p w14:paraId="234C96DB" w14:textId="77777777" w:rsidR="009A6BDD" w:rsidRDefault="009A6BDD" w:rsidP="00213DFE">
            <w:pPr>
              <w:spacing w:line="276" w:lineRule="auto"/>
              <w:jc w:val="both"/>
              <w:rPr>
                <w:color w:val="000000"/>
              </w:rPr>
            </w:pPr>
          </w:p>
        </w:tc>
      </w:tr>
      <w:tr w:rsidR="009A6BDD" w14:paraId="03D8FBDA" w14:textId="77777777" w:rsidTr="0073531A">
        <w:tc>
          <w:tcPr>
            <w:tcW w:w="8606" w:type="dxa"/>
            <w:tcMar>
              <w:top w:w="0" w:type="dxa"/>
              <w:left w:w="115" w:type="dxa"/>
              <w:bottom w:w="0" w:type="dxa"/>
              <w:right w:w="115" w:type="dxa"/>
            </w:tcMar>
          </w:tcPr>
          <w:p w14:paraId="6C8DAFE4" w14:textId="77777777" w:rsidR="009A6BDD" w:rsidRDefault="009A6BDD" w:rsidP="00213DFE">
            <w:pPr>
              <w:spacing w:line="276" w:lineRule="auto"/>
              <w:jc w:val="both"/>
              <w:rPr>
                <w:color w:val="000000"/>
              </w:rPr>
            </w:pPr>
          </w:p>
        </w:tc>
        <w:tc>
          <w:tcPr>
            <w:tcW w:w="287" w:type="dxa"/>
            <w:tcMar>
              <w:top w:w="0" w:type="dxa"/>
              <w:left w:w="115" w:type="dxa"/>
              <w:bottom w:w="0" w:type="dxa"/>
              <w:right w:w="115" w:type="dxa"/>
            </w:tcMar>
          </w:tcPr>
          <w:p w14:paraId="12A1A7A1" w14:textId="77777777" w:rsidR="009A6BDD" w:rsidRDefault="009A6BDD" w:rsidP="00213DFE">
            <w:pPr>
              <w:spacing w:line="276" w:lineRule="auto"/>
              <w:jc w:val="both"/>
              <w:rPr>
                <w:color w:val="000000"/>
              </w:rPr>
            </w:pPr>
          </w:p>
        </w:tc>
        <w:tc>
          <w:tcPr>
            <w:tcW w:w="287" w:type="dxa"/>
            <w:tcMar>
              <w:top w:w="0" w:type="dxa"/>
              <w:left w:w="115" w:type="dxa"/>
              <w:bottom w:w="0" w:type="dxa"/>
              <w:right w:w="115" w:type="dxa"/>
            </w:tcMar>
          </w:tcPr>
          <w:p w14:paraId="5EA8913F" w14:textId="77777777" w:rsidR="009A6BDD" w:rsidRDefault="009A6BDD" w:rsidP="00213DFE">
            <w:pPr>
              <w:spacing w:line="276" w:lineRule="auto"/>
              <w:jc w:val="both"/>
              <w:rPr>
                <w:color w:val="000000"/>
              </w:rPr>
            </w:pPr>
          </w:p>
        </w:tc>
      </w:tr>
    </w:tbl>
    <w:p w14:paraId="36428521" w14:textId="77777777" w:rsidR="009A6BDD" w:rsidRDefault="009A6BDD" w:rsidP="00213DFE">
      <w:pPr>
        <w:spacing w:line="276" w:lineRule="auto"/>
        <w:jc w:val="both"/>
        <w:rPr>
          <w:color w:val="000000"/>
        </w:rPr>
      </w:pPr>
    </w:p>
    <w:p w14:paraId="30FA1FE7" w14:textId="77777777" w:rsidR="009A6BDD" w:rsidRDefault="009A6BDD" w:rsidP="00213DFE">
      <w:pPr>
        <w:jc w:val="both"/>
        <w:rPr>
          <w:color w:val="000000"/>
        </w:rPr>
      </w:pPr>
    </w:p>
    <w:p w14:paraId="06A69D64" w14:textId="77777777" w:rsidR="00D72A0D" w:rsidRPr="009A6BDD" w:rsidRDefault="00D72A0D" w:rsidP="00213DFE">
      <w:pPr>
        <w:jc w:val="both"/>
      </w:pPr>
    </w:p>
    <w:sectPr w:rsidR="00D72A0D" w:rsidRPr="009A6BDD">
      <w:headerReference w:type="first" r:id="rId8"/>
      <w:footerReference w:type="first" r:id="rId9"/>
      <w:pgSz w:w="11906" w:h="16838"/>
      <w:pgMar w:top="938" w:right="1286"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2EAA1" w14:textId="77777777" w:rsidR="0044173C" w:rsidRDefault="0044173C">
      <w:r>
        <w:separator/>
      </w:r>
    </w:p>
  </w:endnote>
  <w:endnote w:type="continuationSeparator" w:id="0">
    <w:p w14:paraId="4ED48982" w14:textId="77777777" w:rsidR="0044173C" w:rsidRDefault="00441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6DA1" w14:textId="77777777" w:rsidR="00D72A0D" w:rsidRDefault="00D72A0D">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0FCB9" w14:textId="77777777" w:rsidR="0044173C" w:rsidRDefault="0044173C">
      <w:r>
        <w:separator/>
      </w:r>
    </w:p>
  </w:footnote>
  <w:footnote w:type="continuationSeparator" w:id="0">
    <w:p w14:paraId="5BFD3D39" w14:textId="77777777" w:rsidR="0044173C" w:rsidRDefault="004417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BBFFF" w14:textId="4D8CCF4B" w:rsidR="00D72A0D" w:rsidRDefault="00000000">
    <w:pPr>
      <w:pBdr>
        <w:top w:val="nil"/>
        <w:left w:val="nil"/>
        <w:bottom w:val="nil"/>
        <w:right w:val="nil"/>
        <w:between w:val="nil"/>
      </w:pBdr>
      <w:tabs>
        <w:tab w:val="center" w:pos="4513"/>
        <w:tab w:val="right" w:pos="9026"/>
        <w:tab w:val="left" w:pos="1483"/>
      </w:tabs>
      <w:ind w:left="360"/>
      <w:rPr>
        <w:color w:val="000000"/>
        <w:sz w:val="36"/>
        <w:szCs w:val="36"/>
        <w:vertAlign w:val="superscript"/>
      </w:rPr>
    </w:pPr>
    <w:r>
      <w:rPr>
        <w:noProof/>
        <w:color w:val="000000"/>
      </w:rPr>
      <w:drawing>
        <wp:anchor distT="0" distB="0" distL="114300" distR="114300" simplePos="0" relativeHeight="251658240" behindDoc="0" locked="0" layoutInCell="1" hidden="0" allowOverlap="1" wp14:anchorId="6BEBF4DB" wp14:editId="561D6C9E">
          <wp:simplePos x="0" y="0"/>
          <wp:positionH relativeFrom="margin">
            <wp:posOffset>111125</wp:posOffset>
          </wp:positionH>
          <wp:positionV relativeFrom="margin">
            <wp:posOffset>-608247</wp:posOffset>
          </wp:positionV>
          <wp:extent cx="825500" cy="311150"/>
          <wp:effectExtent l="0" t="0" r="0" b="0"/>
          <wp:wrapSquare wrapText="bothSides" distT="0" distB="0" distL="114300" distR="114300"/>
          <wp:docPr id="18" name="image4.png" descr="A blue logo with white text&#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4.png" descr="A blue logo with white text&#10;&#10;Description automatically generated with low confidence"/>
                  <pic:cNvPicPr preferRelativeResize="0"/>
                </pic:nvPicPr>
                <pic:blipFill>
                  <a:blip r:embed="rId1"/>
                  <a:srcRect/>
                  <a:stretch>
                    <a:fillRect/>
                  </a:stretch>
                </pic:blipFill>
                <pic:spPr>
                  <a:xfrm>
                    <a:off x="0" y="0"/>
                    <a:ext cx="825500" cy="311150"/>
                  </a:xfrm>
                  <a:prstGeom prst="rect">
                    <a:avLst/>
                  </a:prstGeom>
                  <a:ln/>
                </pic:spPr>
              </pic:pic>
            </a:graphicData>
          </a:graphic>
        </wp:anchor>
      </w:drawing>
    </w:r>
    <w:r>
      <w:rPr>
        <w:rFonts w:ascii="Book Antiqua" w:eastAsia="Book Antiqua" w:hAnsi="Book Antiqua" w:cs="Book Antiqua"/>
        <w:smallCaps/>
        <w:color w:val="000000"/>
        <w:sz w:val="80"/>
        <w:szCs w:val="80"/>
        <w:vertAlign w:val="superscript"/>
      </w:rPr>
      <w:t xml:space="preserve">    News </w:t>
    </w:r>
    <w:r>
      <w:rPr>
        <w:noProof/>
      </w:rPr>
      <mc:AlternateContent>
        <mc:Choice Requires="wpg">
          <w:drawing>
            <wp:anchor distT="0" distB="0" distL="114300" distR="114300" simplePos="0" relativeHeight="251659264" behindDoc="0" locked="0" layoutInCell="1" hidden="0" allowOverlap="1" wp14:anchorId="41DCDB5D" wp14:editId="50D86330">
              <wp:simplePos x="0" y="0"/>
              <wp:positionH relativeFrom="column">
                <wp:posOffset>1041400</wp:posOffset>
              </wp:positionH>
              <wp:positionV relativeFrom="paragraph">
                <wp:posOffset>69850</wp:posOffset>
              </wp:positionV>
              <wp:extent cx="25400" cy="241300"/>
              <wp:effectExtent l="0" t="0" r="0" b="0"/>
              <wp:wrapNone/>
              <wp:docPr id="16" name="Straight Arrow Connector 16"/>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12700" cap="flat" cmpd="sng">
                        <a:solidFill>
                          <a:srgbClr val="000000"/>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1041400</wp:posOffset>
              </wp:positionH>
              <wp:positionV relativeFrom="paragraph">
                <wp:posOffset>69850</wp:posOffset>
              </wp:positionV>
              <wp:extent cx="25400" cy="241300"/>
              <wp:effectExtent b="0" l="0" r="0" t="0"/>
              <wp:wrapNone/>
              <wp:docPr id="16" name="image6.png"/>
              <a:graphic>
                <a:graphicData uri="http://schemas.openxmlformats.org/drawingml/2006/picture">
                  <pic:pic>
                    <pic:nvPicPr>
                      <pic:cNvPr id="0" name="image6.png"/>
                      <pic:cNvPicPr preferRelativeResize="0"/>
                    </pic:nvPicPr>
                    <pic:blipFill>
                      <a:blip r:embed="rId6"/>
                      <a:srcRect/>
                      <a:stretch>
                        <a:fillRect/>
                      </a:stretch>
                    </pic:blipFill>
                    <pic:spPr>
                      <a:xfrm>
                        <a:off x="0" y="0"/>
                        <a:ext cx="25400" cy="241300"/>
                      </a:xfrm>
                      <a:prstGeom prst="rect"/>
                      <a:ln/>
                    </pic:spPr>
                  </pic:pic>
                </a:graphicData>
              </a:graphic>
            </wp:anchor>
          </w:drawing>
        </mc:Fallback>
      </mc:AlternateContent>
    </w:r>
    <w:r>
      <w:rPr>
        <w:noProof/>
      </w:rPr>
      <mc:AlternateContent>
        <mc:Choice Requires="wps">
          <w:drawing>
            <wp:anchor distT="0" distB="0" distL="114300" distR="114300" simplePos="0" relativeHeight="251660288" behindDoc="0" locked="0" layoutInCell="1" hidden="0" allowOverlap="1" wp14:anchorId="18621191" wp14:editId="05489516">
              <wp:simplePos x="0" y="0"/>
              <wp:positionH relativeFrom="column">
                <wp:posOffset>1047750</wp:posOffset>
              </wp:positionH>
              <wp:positionV relativeFrom="paragraph">
                <wp:posOffset>76200</wp:posOffset>
              </wp:positionV>
              <wp:extent cx="0" cy="228600"/>
              <wp:effectExtent l="0" t="0" r="0" b="0"/>
              <wp:wrapNone/>
              <wp:docPr id="17" name="Straight Arrow Connector 17"/>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12700" cap="flat" cmpd="sng">
                        <a:solidFill>
                          <a:srgbClr val="000000"/>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1047750</wp:posOffset>
              </wp:positionH>
              <wp:positionV relativeFrom="paragraph">
                <wp:posOffset>76200</wp:posOffset>
              </wp:positionV>
              <wp:extent cx="0" cy="228600"/>
              <wp:effectExtent b="0" l="0" r="0" t="0"/>
              <wp:wrapNone/>
              <wp:docPr id="17" name="image7.png"/>
              <a:graphic>
                <a:graphicData uri="http://schemas.openxmlformats.org/drawingml/2006/picture">
                  <pic:pic>
                    <pic:nvPicPr>
                      <pic:cNvPr id="0" name="image7.png"/>
                      <pic:cNvPicPr preferRelativeResize="0"/>
                    </pic:nvPicPr>
                    <pic:blipFill>
                      <a:blip r:embed="rId6"/>
                      <a:srcRect/>
                      <a:stretch>
                        <a:fillRect/>
                      </a:stretch>
                    </pic:blipFill>
                    <pic:spPr>
                      <a:xfrm>
                        <a:off x="0" y="0"/>
                        <a:ext cx="0" cy="22860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C1512"/>
    <w:multiLevelType w:val="multilevel"/>
    <w:tmpl w:val="F54E7A7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6C3A47B4"/>
    <w:multiLevelType w:val="multilevel"/>
    <w:tmpl w:val="04C8DD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7170C60"/>
    <w:multiLevelType w:val="multilevel"/>
    <w:tmpl w:val="D7CAE22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286890401">
    <w:abstractNumId w:val="2"/>
  </w:num>
  <w:num w:numId="2" w16cid:durableId="91246331">
    <w:abstractNumId w:val="1"/>
  </w:num>
  <w:num w:numId="3" w16cid:durableId="1964730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A0D"/>
    <w:rsid w:val="00041D0D"/>
    <w:rsid w:val="0012253A"/>
    <w:rsid w:val="001A291E"/>
    <w:rsid w:val="00211671"/>
    <w:rsid w:val="00213DFE"/>
    <w:rsid w:val="002C4250"/>
    <w:rsid w:val="002E7D91"/>
    <w:rsid w:val="003743DD"/>
    <w:rsid w:val="00382291"/>
    <w:rsid w:val="00397EB1"/>
    <w:rsid w:val="003D69F5"/>
    <w:rsid w:val="0044173C"/>
    <w:rsid w:val="004D5959"/>
    <w:rsid w:val="004F1E07"/>
    <w:rsid w:val="00646AFD"/>
    <w:rsid w:val="00660940"/>
    <w:rsid w:val="006741EF"/>
    <w:rsid w:val="006C201D"/>
    <w:rsid w:val="006E6336"/>
    <w:rsid w:val="00744935"/>
    <w:rsid w:val="00744B85"/>
    <w:rsid w:val="00751776"/>
    <w:rsid w:val="007B75C3"/>
    <w:rsid w:val="0083334F"/>
    <w:rsid w:val="00853A54"/>
    <w:rsid w:val="008A59DB"/>
    <w:rsid w:val="00907192"/>
    <w:rsid w:val="0098768B"/>
    <w:rsid w:val="009A6BDD"/>
    <w:rsid w:val="00A76274"/>
    <w:rsid w:val="00BD7011"/>
    <w:rsid w:val="00D72A0D"/>
    <w:rsid w:val="00D83B93"/>
    <w:rsid w:val="00EB04EF"/>
    <w:rsid w:val="00ED2AE1"/>
    <w:rsid w:val="00F57D1D"/>
    <w:rsid w:val="00FB68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EA85E"/>
  <w15:docId w15:val="{84F772A4-B35D-CC45-B070-8177F2986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b/>
    </w:rPr>
  </w:style>
  <w:style w:type="paragraph" w:styleId="Heading2">
    <w:name w:val="heading 2"/>
    <w:basedOn w:val="Normal"/>
    <w:next w:val="Normal"/>
    <w:uiPriority w:val="9"/>
    <w:semiHidden/>
    <w:unhideWhenUsed/>
    <w:qFormat/>
    <w:pPr>
      <w:keepNext/>
      <w:keepLines/>
      <w:spacing w:before="120"/>
      <w:outlineLvl w:val="1"/>
    </w:pPr>
    <w:rPr>
      <w:b/>
    </w:rPr>
  </w:style>
  <w:style w:type="paragraph" w:styleId="Heading3">
    <w:name w:val="heading 3"/>
    <w:basedOn w:val="Normal"/>
    <w:next w:val="Normal"/>
    <w:uiPriority w:val="9"/>
    <w:unhideWhenUsed/>
    <w:qFormat/>
    <w:pPr>
      <w:keepNext/>
      <w:keepLines/>
      <w:spacing w:before="120"/>
      <w:outlineLvl w:val="2"/>
    </w:pPr>
    <w:rPr>
      <w:b/>
      <w:i/>
    </w:rPr>
  </w:style>
  <w:style w:type="paragraph" w:styleId="Heading4">
    <w:name w:val="heading 4"/>
    <w:basedOn w:val="Normal"/>
    <w:next w:val="Normal"/>
    <w:uiPriority w:val="9"/>
    <w:semiHidden/>
    <w:unhideWhenUsed/>
    <w:qFormat/>
    <w:pPr>
      <w:keepNext/>
      <w:keepLines/>
      <w:spacing w:before="120"/>
      <w:outlineLvl w:val="3"/>
    </w:pPr>
    <w:rPr>
      <w:i/>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100" w:type="dxa"/>
        <w:left w:w="100" w:type="dxa"/>
        <w:bottom w:w="100" w:type="dxa"/>
        <w:right w:w="100" w:type="dxa"/>
      </w:tblCellMar>
    </w:tblPr>
  </w:style>
  <w:style w:type="table" w:customStyle="1" w:styleId="a">
    <w:basedOn w:val="TableNormal1"/>
    <w:tblPr>
      <w:tblStyleRowBandSize w:val="1"/>
      <w:tblStyleColBandSize w:val="1"/>
      <w:tblCellMar>
        <w:top w:w="15" w:type="dxa"/>
        <w:left w:w="15" w:type="dxa"/>
        <w:bottom w:w="15" w:type="dxa"/>
        <w:right w:w="15" w:type="dxa"/>
      </w:tblCellMar>
    </w:tblPr>
  </w:style>
  <w:style w:type="table" w:customStyle="1" w:styleId="a0">
    <w:basedOn w:val="TableNormal1"/>
    <w:tblPr>
      <w:tblStyleRowBandSize w:val="1"/>
      <w:tblStyleColBandSize w:val="1"/>
      <w:tblCellMar>
        <w:top w:w="15" w:type="dxa"/>
        <w:left w:w="15" w:type="dxa"/>
        <w:bottom w:w="15" w:type="dxa"/>
        <w:right w:w="15" w:type="dxa"/>
      </w:tblCellMar>
    </w:tblPr>
  </w:style>
  <w:style w:type="paragraph" w:styleId="ListParagraph">
    <w:name w:val="List Paragraph"/>
    <w:basedOn w:val="Normal"/>
    <w:uiPriority w:val="34"/>
    <w:qFormat/>
    <w:rsid w:val="006168EB"/>
    <w:pPr>
      <w:ind w:left="720"/>
      <w:contextualSpacing/>
    </w:pPr>
  </w:style>
  <w:style w:type="character" w:styleId="CommentReference">
    <w:name w:val="annotation reference"/>
    <w:basedOn w:val="DefaultParagraphFont"/>
    <w:uiPriority w:val="99"/>
    <w:semiHidden/>
    <w:unhideWhenUsed/>
    <w:rsid w:val="000C3387"/>
    <w:rPr>
      <w:sz w:val="16"/>
      <w:szCs w:val="16"/>
    </w:rPr>
  </w:style>
  <w:style w:type="paragraph" w:styleId="CommentText">
    <w:name w:val="annotation text"/>
    <w:basedOn w:val="Normal"/>
    <w:link w:val="CommentTextChar"/>
    <w:uiPriority w:val="99"/>
    <w:semiHidden/>
    <w:unhideWhenUsed/>
    <w:rsid w:val="000C3387"/>
  </w:style>
  <w:style w:type="character" w:customStyle="1" w:styleId="CommentTextChar">
    <w:name w:val="Comment Text Char"/>
    <w:basedOn w:val="DefaultParagraphFont"/>
    <w:link w:val="CommentText"/>
    <w:uiPriority w:val="99"/>
    <w:semiHidden/>
    <w:rsid w:val="000C3387"/>
  </w:style>
  <w:style w:type="paragraph" w:styleId="CommentSubject">
    <w:name w:val="annotation subject"/>
    <w:basedOn w:val="CommentText"/>
    <w:next w:val="CommentText"/>
    <w:link w:val="CommentSubjectChar"/>
    <w:uiPriority w:val="99"/>
    <w:semiHidden/>
    <w:unhideWhenUsed/>
    <w:rsid w:val="000C3387"/>
    <w:rPr>
      <w:b/>
      <w:bCs/>
    </w:rPr>
  </w:style>
  <w:style w:type="character" w:customStyle="1" w:styleId="CommentSubjectChar">
    <w:name w:val="Comment Subject Char"/>
    <w:basedOn w:val="CommentTextChar"/>
    <w:link w:val="CommentSubject"/>
    <w:uiPriority w:val="99"/>
    <w:semiHidden/>
    <w:rsid w:val="000C3387"/>
    <w:rPr>
      <w:b/>
      <w:bCs/>
    </w:rPr>
  </w:style>
  <w:style w:type="paragraph" w:styleId="Header">
    <w:name w:val="header"/>
    <w:basedOn w:val="Normal"/>
    <w:link w:val="HeaderChar"/>
    <w:uiPriority w:val="99"/>
    <w:unhideWhenUsed/>
    <w:rsid w:val="00E5286C"/>
    <w:pPr>
      <w:tabs>
        <w:tab w:val="center" w:pos="4680"/>
        <w:tab w:val="right" w:pos="9360"/>
      </w:tabs>
    </w:pPr>
  </w:style>
  <w:style w:type="character" w:customStyle="1" w:styleId="HeaderChar">
    <w:name w:val="Header Char"/>
    <w:basedOn w:val="DefaultParagraphFont"/>
    <w:link w:val="Header"/>
    <w:uiPriority w:val="99"/>
    <w:rsid w:val="00E5286C"/>
  </w:style>
  <w:style w:type="paragraph" w:styleId="Footer">
    <w:name w:val="footer"/>
    <w:basedOn w:val="Normal"/>
    <w:link w:val="FooterChar"/>
    <w:unhideWhenUsed/>
    <w:rsid w:val="00E5286C"/>
    <w:pPr>
      <w:tabs>
        <w:tab w:val="center" w:pos="4680"/>
        <w:tab w:val="right" w:pos="9360"/>
      </w:tabs>
    </w:pPr>
  </w:style>
  <w:style w:type="character" w:customStyle="1" w:styleId="FooterChar">
    <w:name w:val="Footer Char"/>
    <w:basedOn w:val="DefaultParagraphFont"/>
    <w:link w:val="Footer"/>
    <w:rsid w:val="00E5286C"/>
  </w:style>
  <w:style w:type="character" w:styleId="Hyperlink">
    <w:name w:val="Hyperlink"/>
    <w:rsid w:val="00E5286C"/>
    <w:rPr>
      <w:color w:val="0000FF"/>
      <w:u w:val="single"/>
    </w:rPr>
  </w:style>
  <w:style w:type="paragraph" w:styleId="NormalWeb">
    <w:name w:val="Normal (Web)"/>
    <w:basedOn w:val="Normal"/>
    <w:uiPriority w:val="99"/>
    <w:unhideWhenUsed/>
    <w:rsid w:val="00D634AF"/>
    <w:pPr>
      <w:spacing w:before="100" w:beforeAutospacing="1" w:after="100" w:afterAutospacing="1"/>
    </w:pPr>
    <w:rPr>
      <w:sz w:val="24"/>
      <w:szCs w:val="24"/>
      <w:lang w:val="vi-VN" w:eastAsia="vi-V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character" w:styleId="UnresolvedMention">
    <w:name w:val="Unresolved Mention"/>
    <w:basedOn w:val="DefaultParagraphFont"/>
    <w:uiPriority w:val="99"/>
    <w:semiHidden/>
    <w:unhideWhenUsed/>
    <w:rsid w:val="007B75C3"/>
    <w:rPr>
      <w:color w:val="605E5C"/>
      <w:shd w:val="clear" w:color="auto" w:fill="E1DFDD"/>
    </w:rPr>
  </w:style>
  <w:style w:type="character" w:styleId="FollowedHyperlink">
    <w:name w:val="FollowedHyperlink"/>
    <w:basedOn w:val="DefaultParagraphFont"/>
    <w:uiPriority w:val="99"/>
    <w:semiHidden/>
    <w:unhideWhenUsed/>
    <w:rsid w:val="00744B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6"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32tfQo0xJA8WFE6CJ2I3MU5EEg==">CgMxLjA4AHIhMU9pUmdjV3A4VkhyWGlnRlBfVFdVSDNhdml5OUt2ck5X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2</Pages>
  <Words>739</Words>
  <Characters>4215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abc</cp:lastModifiedBy>
  <cp:revision>20</cp:revision>
  <dcterms:created xsi:type="dcterms:W3CDTF">2025-09-24T16:34:00Z</dcterms:created>
  <dcterms:modified xsi:type="dcterms:W3CDTF">2025-11-01T04:35:00Z</dcterms:modified>
</cp:coreProperties>
</file>