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5A5CE" w14:textId="77777777" w:rsidR="00A01D3A" w:rsidRDefault="00A01D3A" w:rsidP="00A01D3A">
      <w:pPr>
        <w:spacing w:after="0" w:line="240" w:lineRule="auto"/>
        <w:jc w:val="center"/>
        <w:rPr>
          <w:rFonts w:ascii="Arial" w:eastAsia="Arial" w:hAnsi="Arial" w:cs="Arial"/>
          <w:b/>
          <w:bCs/>
        </w:rPr>
      </w:pPr>
      <w:r>
        <w:rPr>
          <w:rFonts w:ascii="Arial" w:eastAsia="Arial" w:hAnsi="Arial" w:cs="Arial"/>
          <w:b/>
          <w:bCs/>
        </w:rPr>
        <w:t>HYUNDAI THÀNH CÔNG TRIỂN KHAI CHƯƠNG TRÌNH ƯU ĐÃI</w:t>
      </w:r>
    </w:p>
    <w:p w14:paraId="6CD69225" w14:textId="77777777" w:rsidR="00A01D3A" w:rsidRDefault="00A01D3A" w:rsidP="00A01D3A">
      <w:pPr>
        <w:spacing w:after="0" w:line="240" w:lineRule="auto"/>
        <w:jc w:val="center"/>
        <w:rPr>
          <w:rFonts w:ascii="Arial" w:eastAsia="Arial" w:hAnsi="Arial" w:cs="Arial"/>
          <w:b/>
          <w:bCs/>
        </w:rPr>
      </w:pPr>
      <w:r>
        <w:rPr>
          <w:rFonts w:ascii="Arial" w:eastAsia="Arial" w:hAnsi="Arial" w:cs="Arial"/>
          <w:b/>
          <w:bCs/>
        </w:rPr>
        <w:t>ĐÓN NĂM MỚI - CHỐT DEAL HỜI</w:t>
      </w:r>
    </w:p>
    <w:p w14:paraId="7EB18C20" w14:textId="77777777" w:rsidR="00A01D3A" w:rsidRDefault="00A01D3A" w:rsidP="00A01D3A">
      <w:pPr>
        <w:shd w:val="clear" w:color="auto" w:fill="FFFFFF"/>
        <w:spacing w:after="0" w:line="240" w:lineRule="auto"/>
        <w:jc w:val="both"/>
        <w:rPr>
          <w:rFonts w:ascii="Arial" w:eastAsia="Arial" w:hAnsi="Arial" w:cs="Arial"/>
          <w:highlight w:val="white"/>
        </w:rPr>
      </w:pPr>
      <w:r>
        <w:rPr>
          <w:rFonts w:ascii="Arial" w:eastAsia="Arial" w:hAnsi="Arial" w:cs="Arial"/>
          <w:highlight w:val="white"/>
        </w:rPr>
        <w:t>Hà Nội, Tháng 1/2026 – Liên doanh Ô tô Hyundai Thành Công Việt Nam (HTV) chính thức khởi động chuỗi ưu đãi toàn diện dành cho khách hàng trong tháng 1/2026. Chương trình với tên gọi “Đón năm mới – Chốt deal hời”, với tổng giá trị ưu đãi lên tới 220 triệu đồng, cùng quyền lợi giá trị khác áp dụng cho các dòng xe Hyundai.</w:t>
      </w:r>
    </w:p>
    <w:p w14:paraId="7C599D09" w14:textId="77777777" w:rsidR="00A01D3A" w:rsidRDefault="00A01D3A" w:rsidP="00A01D3A">
      <w:pPr>
        <w:shd w:val="clear" w:color="auto" w:fill="FFFFFF"/>
        <w:spacing w:after="0" w:line="240" w:lineRule="auto"/>
        <w:jc w:val="both"/>
        <w:rPr>
          <w:rFonts w:ascii="Arial" w:eastAsia="Arial" w:hAnsi="Arial" w:cs="Arial"/>
          <w:highlight w:val="white"/>
        </w:rPr>
      </w:pPr>
      <w:r>
        <w:rPr>
          <w:rFonts w:ascii="Arial" w:eastAsia="Arial" w:hAnsi="Arial" w:cs="Arial"/>
          <w:highlight w:val="white"/>
        </w:rPr>
        <w:t>Tháng 1 đánh dấu khởi đầu của một năm mới với nhiều dự định lớn, đồng thời là khoảng thời gian chuẩn bị đón Tết Nguyên đán, khi mọi người đều bận rộn với những chuyến công tác hay về quê thăm gia đình. Nhận thấy điều này, Hyundai Thành Công Việt Nam (HTV) mong muốn trở thành người bạn đồng hành đáng tin cậy cho khách hàng trên từng cung đường.</w:t>
      </w:r>
    </w:p>
    <w:p w14:paraId="14EA5463" w14:textId="77777777" w:rsidR="00A01D3A" w:rsidRDefault="00A01D3A" w:rsidP="00A01D3A">
      <w:pPr>
        <w:shd w:val="clear" w:color="auto" w:fill="FFFFFF"/>
        <w:spacing w:after="0" w:line="240" w:lineRule="auto"/>
        <w:jc w:val="both"/>
        <w:rPr>
          <w:rFonts w:ascii="Arial" w:eastAsia="Arial" w:hAnsi="Arial" w:cs="Arial"/>
        </w:rPr>
      </w:pPr>
      <w:r>
        <w:rPr>
          <w:rFonts w:ascii="Arial" w:eastAsia="Arial" w:hAnsi="Arial" w:cs="Arial"/>
          <w:highlight w:val="white"/>
        </w:rPr>
        <w:t>Chương trình khuyến mãi đặc biệt trong tháng 1 chính là minh chứng cho cam kết của Hyundai Thành Công Việt Nam trong việc đặt khách hàng lên hàng đầu. Những ưu đãi này không đơn thuần là giảm giá, mà còn thể hiện lời hứa của HTV về chất lượng xe sang trọng, trải nghiệm vận hành thoải mái và độ bền vượt trội của các mẫu xe Hyundai - giúp khách hàng hoàn toàn yên tâm cho mọi chặng đường.</w:t>
      </w:r>
    </w:p>
    <w:tbl>
      <w:tblPr>
        <w:tblW w:w="9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5"/>
        <w:gridCol w:w="2812"/>
        <w:gridCol w:w="2419"/>
        <w:gridCol w:w="2419"/>
      </w:tblGrid>
      <w:tr w:rsidR="00A01D3A" w14:paraId="39FC83C4" w14:textId="77777777" w:rsidTr="004A7A03">
        <w:trPr>
          <w:trHeight w:val="610"/>
          <w:jc w:val="center"/>
        </w:trPr>
        <w:tc>
          <w:tcPr>
            <w:tcW w:w="1375" w:type="dxa"/>
            <w:vAlign w:val="center"/>
          </w:tcPr>
          <w:p w14:paraId="7CB42604" w14:textId="77777777" w:rsidR="00A01D3A" w:rsidRDefault="00A01D3A" w:rsidP="004A7A03">
            <w:pPr>
              <w:spacing w:after="0" w:line="240" w:lineRule="auto"/>
              <w:jc w:val="center"/>
              <w:rPr>
                <w:rFonts w:ascii="Arial" w:eastAsia="Arial" w:hAnsi="Arial" w:cs="Arial"/>
                <w:b/>
                <w:bCs/>
              </w:rPr>
            </w:pPr>
            <w:bookmarkStart w:id="0" w:name="_heading=h.jed23xg29mzq" w:colFirst="0" w:colLast="0"/>
            <w:bookmarkEnd w:id="0"/>
            <w:r>
              <w:rPr>
                <w:rFonts w:ascii="Arial" w:eastAsia="Arial" w:hAnsi="Arial" w:cs="Arial"/>
                <w:b/>
                <w:bCs/>
              </w:rPr>
              <w:t>STT</w:t>
            </w:r>
          </w:p>
        </w:tc>
        <w:tc>
          <w:tcPr>
            <w:tcW w:w="2811" w:type="dxa"/>
            <w:vAlign w:val="center"/>
          </w:tcPr>
          <w:p w14:paraId="26234F4E" w14:textId="77777777" w:rsidR="00A01D3A" w:rsidRDefault="00A01D3A" w:rsidP="004A7A03">
            <w:pPr>
              <w:spacing w:after="0" w:line="240" w:lineRule="auto"/>
              <w:jc w:val="center"/>
              <w:rPr>
                <w:rFonts w:ascii="Arial" w:eastAsia="Arial" w:hAnsi="Arial" w:cs="Arial"/>
                <w:b/>
                <w:bCs/>
              </w:rPr>
            </w:pPr>
            <w:r>
              <w:rPr>
                <w:rFonts w:ascii="Arial" w:eastAsia="Arial" w:hAnsi="Arial" w:cs="Arial"/>
                <w:b/>
                <w:bCs/>
              </w:rPr>
              <w:t>Model (*)</w:t>
            </w:r>
          </w:p>
        </w:tc>
        <w:tc>
          <w:tcPr>
            <w:tcW w:w="2418" w:type="dxa"/>
            <w:vAlign w:val="center"/>
          </w:tcPr>
          <w:p w14:paraId="33A633E3" w14:textId="77777777" w:rsidR="00A01D3A" w:rsidRDefault="00A01D3A" w:rsidP="004A7A03">
            <w:pPr>
              <w:spacing w:after="0" w:line="240" w:lineRule="auto"/>
              <w:jc w:val="center"/>
              <w:rPr>
                <w:rFonts w:ascii="Arial" w:eastAsia="Arial" w:hAnsi="Arial" w:cs="Arial"/>
                <w:b/>
                <w:bCs/>
              </w:rPr>
            </w:pPr>
            <w:r>
              <w:rPr>
                <w:rFonts w:ascii="Arial" w:eastAsia="Arial" w:hAnsi="Arial" w:cs="Arial"/>
                <w:b/>
                <w:bCs/>
              </w:rPr>
              <w:t>Giá trị khuyến mại tối đa (VND)</w:t>
            </w:r>
          </w:p>
        </w:tc>
        <w:tc>
          <w:tcPr>
            <w:tcW w:w="2418" w:type="dxa"/>
            <w:vAlign w:val="center"/>
          </w:tcPr>
          <w:p w14:paraId="0A21490F" w14:textId="77777777" w:rsidR="00A01D3A" w:rsidRDefault="00A01D3A" w:rsidP="004A7A03">
            <w:pPr>
              <w:spacing w:after="0" w:line="240" w:lineRule="auto"/>
              <w:jc w:val="center"/>
              <w:rPr>
                <w:rFonts w:ascii="Arial" w:eastAsia="Arial" w:hAnsi="Arial" w:cs="Arial"/>
                <w:b/>
                <w:bCs/>
              </w:rPr>
            </w:pPr>
            <w:r>
              <w:rPr>
                <w:rFonts w:ascii="Arial" w:eastAsia="Arial" w:hAnsi="Arial" w:cs="Arial"/>
                <w:b/>
                <w:bCs/>
              </w:rPr>
              <w:t>Chi tiết ưu đãi</w:t>
            </w:r>
          </w:p>
        </w:tc>
      </w:tr>
      <w:tr w:rsidR="00A01D3A" w14:paraId="5362125F" w14:textId="77777777" w:rsidTr="004A7A03">
        <w:trPr>
          <w:trHeight w:val="610"/>
          <w:jc w:val="center"/>
        </w:trPr>
        <w:tc>
          <w:tcPr>
            <w:tcW w:w="1375" w:type="dxa"/>
            <w:vAlign w:val="center"/>
          </w:tcPr>
          <w:p w14:paraId="2757BC56" w14:textId="77777777" w:rsidR="00A01D3A" w:rsidRDefault="00A01D3A" w:rsidP="004A7A03">
            <w:pPr>
              <w:spacing w:after="0" w:line="240" w:lineRule="auto"/>
              <w:jc w:val="center"/>
              <w:rPr>
                <w:rFonts w:ascii="Arial" w:eastAsia="Arial" w:hAnsi="Arial" w:cs="Arial"/>
              </w:rPr>
            </w:pPr>
            <w:r>
              <w:rPr>
                <w:rFonts w:ascii="Arial" w:eastAsia="Arial" w:hAnsi="Arial" w:cs="Arial"/>
              </w:rPr>
              <w:t>1</w:t>
            </w:r>
          </w:p>
        </w:tc>
        <w:tc>
          <w:tcPr>
            <w:tcW w:w="2811" w:type="dxa"/>
            <w:vAlign w:val="center"/>
          </w:tcPr>
          <w:p w14:paraId="6BE109AE" w14:textId="77777777" w:rsidR="00A01D3A" w:rsidRDefault="00A01D3A" w:rsidP="004A7A03">
            <w:pPr>
              <w:spacing w:after="0" w:line="240" w:lineRule="auto"/>
              <w:jc w:val="both"/>
              <w:rPr>
                <w:rFonts w:ascii="Arial" w:eastAsia="Arial" w:hAnsi="Arial" w:cs="Arial"/>
              </w:rPr>
            </w:pPr>
            <w:r>
              <w:rPr>
                <w:rFonts w:ascii="Arial" w:eastAsia="Arial" w:hAnsi="Arial" w:cs="Arial"/>
              </w:rPr>
              <w:t>Hyundai Accent</w:t>
            </w:r>
          </w:p>
        </w:tc>
        <w:tc>
          <w:tcPr>
            <w:tcW w:w="2418" w:type="dxa"/>
            <w:vAlign w:val="center"/>
          </w:tcPr>
          <w:p w14:paraId="333D3B44" w14:textId="77777777" w:rsidR="00A01D3A" w:rsidRDefault="00A01D3A" w:rsidP="004A7A03">
            <w:pPr>
              <w:spacing w:after="0" w:line="240" w:lineRule="auto"/>
              <w:jc w:val="center"/>
              <w:rPr>
                <w:rFonts w:ascii="Arial" w:eastAsia="Arial" w:hAnsi="Arial" w:cs="Arial"/>
              </w:rPr>
            </w:pPr>
            <w:r>
              <w:rPr>
                <w:rFonts w:ascii="Arial" w:eastAsia="Arial" w:hAnsi="Arial" w:cs="Arial"/>
              </w:rPr>
              <w:t>64.000.000</w:t>
            </w:r>
          </w:p>
        </w:tc>
        <w:tc>
          <w:tcPr>
            <w:tcW w:w="2418" w:type="dxa"/>
            <w:vMerge w:val="restart"/>
            <w:vAlign w:val="center"/>
          </w:tcPr>
          <w:p w14:paraId="4F177EA3" w14:textId="77777777" w:rsidR="00A01D3A" w:rsidRDefault="00A01D3A" w:rsidP="004A7A03">
            <w:pPr>
              <w:spacing w:after="0" w:line="240" w:lineRule="auto"/>
              <w:jc w:val="center"/>
              <w:rPr>
                <w:rFonts w:ascii="Arial" w:eastAsia="Arial" w:hAnsi="Arial" w:cs="Arial"/>
              </w:rPr>
            </w:pPr>
            <w:r>
              <w:rPr>
                <w:rFonts w:ascii="Arial" w:eastAsia="Arial" w:hAnsi="Arial" w:cs="Arial"/>
              </w:rPr>
              <w:t>Giá trị bao gồm khuyến mại giảm giá từ HTV &amp; Đại lý, quyền lợi Thẻ hội viên Hyundai hạng Bạch kim và giá trị của gói Gia hạn bảo hành lên 8 năm hoặc 120.000 km (tuỳ điều kiện nào tới trước).</w:t>
            </w:r>
          </w:p>
        </w:tc>
      </w:tr>
      <w:tr w:rsidR="00A01D3A" w14:paraId="1298E153" w14:textId="77777777" w:rsidTr="004A7A03">
        <w:trPr>
          <w:trHeight w:val="412"/>
          <w:jc w:val="center"/>
        </w:trPr>
        <w:tc>
          <w:tcPr>
            <w:tcW w:w="1375" w:type="dxa"/>
            <w:vAlign w:val="center"/>
          </w:tcPr>
          <w:p w14:paraId="7467BA93" w14:textId="77777777" w:rsidR="00A01D3A" w:rsidRDefault="00A01D3A" w:rsidP="004A7A03">
            <w:pPr>
              <w:spacing w:after="0" w:line="240" w:lineRule="auto"/>
              <w:jc w:val="center"/>
              <w:rPr>
                <w:rFonts w:ascii="Arial" w:eastAsia="Arial" w:hAnsi="Arial" w:cs="Arial"/>
              </w:rPr>
            </w:pPr>
            <w:r>
              <w:rPr>
                <w:rFonts w:ascii="Arial" w:eastAsia="Arial" w:hAnsi="Arial" w:cs="Arial"/>
              </w:rPr>
              <w:t>2</w:t>
            </w:r>
          </w:p>
        </w:tc>
        <w:tc>
          <w:tcPr>
            <w:tcW w:w="2811" w:type="dxa"/>
            <w:vAlign w:val="center"/>
          </w:tcPr>
          <w:p w14:paraId="4A6D811A" w14:textId="77777777" w:rsidR="00A01D3A" w:rsidRDefault="00A01D3A" w:rsidP="004A7A03">
            <w:pPr>
              <w:spacing w:after="0" w:line="240" w:lineRule="auto"/>
              <w:jc w:val="both"/>
              <w:rPr>
                <w:rFonts w:ascii="Arial" w:eastAsia="Arial" w:hAnsi="Arial" w:cs="Arial"/>
              </w:rPr>
            </w:pPr>
            <w:r>
              <w:rPr>
                <w:rFonts w:ascii="Arial" w:eastAsia="Arial" w:hAnsi="Arial" w:cs="Arial"/>
              </w:rPr>
              <w:t>Hyundai Stargazer</w:t>
            </w:r>
          </w:p>
        </w:tc>
        <w:tc>
          <w:tcPr>
            <w:tcW w:w="2418" w:type="dxa"/>
            <w:vAlign w:val="center"/>
          </w:tcPr>
          <w:p w14:paraId="65FEAB45" w14:textId="77777777" w:rsidR="00A01D3A" w:rsidRDefault="00A01D3A" w:rsidP="004A7A03">
            <w:pPr>
              <w:widowControl w:val="0"/>
              <w:spacing w:after="0" w:line="240" w:lineRule="auto"/>
              <w:jc w:val="center"/>
              <w:rPr>
                <w:rFonts w:ascii="Arial" w:eastAsia="Arial" w:hAnsi="Arial" w:cs="Arial"/>
              </w:rPr>
            </w:pPr>
            <w:r>
              <w:rPr>
                <w:rFonts w:ascii="Arial" w:eastAsia="Arial" w:hAnsi="Arial" w:cs="Arial"/>
              </w:rPr>
              <w:t>96.000.000</w:t>
            </w:r>
          </w:p>
        </w:tc>
        <w:tc>
          <w:tcPr>
            <w:tcW w:w="2418" w:type="dxa"/>
            <w:vMerge/>
            <w:vAlign w:val="center"/>
          </w:tcPr>
          <w:p w14:paraId="75FD5453" w14:textId="77777777" w:rsidR="00A01D3A" w:rsidRDefault="00A01D3A" w:rsidP="004A7A03">
            <w:pPr>
              <w:widowControl w:val="0"/>
              <w:spacing w:after="0" w:line="240" w:lineRule="auto"/>
              <w:jc w:val="center"/>
              <w:rPr>
                <w:rFonts w:ascii="Arial" w:eastAsia="Arial" w:hAnsi="Arial" w:cs="Arial"/>
              </w:rPr>
            </w:pPr>
          </w:p>
        </w:tc>
      </w:tr>
      <w:tr w:rsidR="00A01D3A" w14:paraId="4A6D7662" w14:textId="77777777" w:rsidTr="004A7A03">
        <w:trPr>
          <w:trHeight w:val="834"/>
          <w:jc w:val="center"/>
        </w:trPr>
        <w:tc>
          <w:tcPr>
            <w:tcW w:w="1375" w:type="dxa"/>
            <w:vAlign w:val="center"/>
          </w:tcPr>
          <w:p w14:paraId="0E08F9A8" w14:textId="77777777" w:rsidR="00A01D3A" w:rsidRDefault="00A01D3A" w:rsidP="004A7A03">
            <w:pPr>
              <w:spacing w:after="0" w:line="240" w:lineRule="auto"/>
              <w:jc w:val="center"/>
              <w:rPr>
                <w:rFonts w:ascii="Arial" w:eastAsia="Arial" w:hAnsi="Arial" w:cs="Arial"/>
              </w:rPr>
            </w:pPr>
            <w:r>
              <w:rPr>
                <w:rFonts w:ascii="Arial" w:eastAsia="Arial" w:hAnsi="Arial" w:cs="Arial"/>
              </w:rPr>
              <w:t>3</w:t>
            </w:r>
          </w:p>
        </w:tc>
        <w:tc>
          <w:tcPr>
            <w:tcW w:w="2811" w:type="dxa"/>
            <w:vAlign w:val="center"/>
          </w:tcPr>
          <w:p w14:paraId="095E66F8" w14:textId="77777777" w:rsidR="00A01D3A" w:rsidRDefault="00A01D3A" w:rsidP="004A7A03">
            <w:pPr>
              <w:spacing w:after="0" w:line="240" w:lineRule="auto"/>
              <w:jc w:val="both"/>
              <w:rPr>
                <w:rFonts w:ascii="Arial" w:eastAsia="Arial" w:hAnsi="Arial" w:cs="Arial"/>
              </w:rPr>
            </w:pPr>
            <w:r>
              <w:rPr>
                <w:rFonts w:ascii="Arial" w:eastAsia="Arial" w:hAnsi="Arial" w:cs="Arial"/>
              </w:rPr>
              <w:t>Hyundai Santa Fe</w:t>
            </w:r>
          </w:p>
        </w:tc>
        <w:tc>
          <w:tcPr>
            <w:tcW w:w="2418" w:type="dxa"/>
            <w:vAlign w:val="center"/>
          </w:tcPr>
          <w:p w14:paraId="05A0EFC5" w14:textId="77777777" w:rsidR="00A01D3A" w:rsidRDefault="00A01D3A" w:rsidP="004A7A03">
            <w:pPr>
              <w:spacing w:after="0" w:line="240" w:lineRule="auto"/>
              <w:jc w:val="center"/>
              <w:rPr>
                <w:rFonts w:ascii="Arial" w:eastAsia="Arial" w:hAnsi="Arial" w:cs="Arial"/>
              </w:rPr>
            </w:pPr>
            <w:r>
              <w:rPr>
                <w:rFonts w:ascii="Arial" w:eastAsia="Arial" w:hAnsi="Arial" w:cs="Arial"/>
              </w:rPr>
              <w:t>220.000.000</w:t>
            </w:r>
          </w:p>
        </w:tc>
        <w:tc>
          <w:tcPr>
            <w:tcW w:w="2418" w:type="dxa"/>
            <w:vMerge/>
            <w:vAlign w:val="center"/>
          </w:tcPr>
          <w:p w14:paraId="0A1B0A79" w14:textId="77777777" w:rsidR="00A01D3A" w:rsidRDefault="00A01D3A" w:rsidP="004A7A03">
            <w:pPr>
              <w:spacing w:after="0" w:line="240" w:lineRule="auto"/>
              <w:jc w:val="center"/>
              <w:rPr>
                <w:rFonts w:ascii="Arial" w:eastAsia="Arial" w:hAnsi="Arial" w:cs="Arial"/>
              </w:rPr>
            </w:pPr>
          </w:p>
        </w:tc>
      </w:tr>
      <w:tr w:rsidR="00A01D3A" w14:paraId="0F436214" w14:textId="77777777" w:rsidTr="004A7A03">
        <w:trPr>
          <w:trHeight w:val="847"/>
          <w:jc w:val="center"/>
        </w:trPr>
        <w:tc>
          <w:tcPr>
            <w:tcW w:w="1375" w:type="dxa"/>
            <w:vAlign w:val="center"/>
          </w:tcPr>
          <w:p w14:paraId="646370CE" w14:textId="77777777" w:rsidR="00A01D3A" w:rsidRDefault="00A01D3A" w:rsidP="004A7A03">
            <w:pPr>
              <w:spacing w:after="0" w:line="240" w:lineRule="auto"/>
              <w:jc w:val="center"/>
              <w:rPr>
                <w:rFonts w:ascii="Arial" w:eastAsia="Arial" w:hAnsi="Arial" w:cs="Arial"/>
              </w:rPr>
            </w:pPr>
            <w:r>
              <w:rPr>
                <w:rFonts w:ascii="Arial" w:eastAsia="Arial" w:hAnsi="Arial" w:cs="Arial"/>
              </w:rPr>
              <w:t>4</w:t>
            </w:r>
          </w:p>
        </w:tc>
        <w:tc>
          <w:tcPr>
            <w:tcW w:w="2811" w:type="dxa"/>
            <w:vAlign w:val="center"/>
          </w:tcPr>
          <w:p w14:paraId="55EB7B8E" w14:textId="77777777" w:rsidR="00A01D3A" w:rsidRDefault="00A01D3A" w:rsidP="004A7A03">
            <w:pPr>
              <w:spacing w:after="0" w:line="240" w:lineRule="auto"/>
              <w:jc w:val="both"/>
              <w:rPr>
                <w:rFonts w:ascii="Arial" w:eastAsia="Arial" w:hAnsi="Arial" w:cs="Arial"/>
              </w:rPr>
            </w:pPr>
            <w:r>
              <w:rPr>
                <w:rFonts w:ascii="Arial" w:eastAsia="Arial" w:hAnsi="Arial" w:cs="Arial"/>
              </w:rPr>
              <w:t>Hyundai Palisade</w:t>
            </w:r>
          </w:p>
        </w:tc>
        <w:tc>
          <w:tcPr>
            <w:tcW w:w="2418" w:type="dxa"/>
            <w:vAlign w:val="center"/>
          </w:tcPr>
          <w:p w14:paraId="45EFE5EE" w14:textId="77777777" w:rsidR="00A01D3A" w:rsidRDefault="00A01D3A" w:rsidP="004A7A03">
            <w:pPr>
              <w:spacing w:after="0" w:line="240" w:lineRule="auto"/>
              <w:jc w:val="center"/>
              <w:rPr>
                <w:rFonts w:ascii="Arial" w:eastAsia="Arial" w:hAnsi="Arial" w:cs="Arial"/>
              </w:rPr>
            </w:pPr>
            <w:r>
              <w:rPr>
                <w:rFonts w:ascii="Arial" w:eastAsia="Arial" w:hAnsi="Arial" w:cs="Arial"/>
              </w:rPr>
              <w:t>200.000.000</w:t>
            </w:r>
          </w:p>
        </w:tc>
        <w:tc>
          <w:tcPr>
            <w:tcW w:w="2418" w:type="dxa"/>
            <w:vMerge w:val="restart"/>
            <w:vAlign w:val="center"/>
          </w:tcPr>
          <w:p w14:paraId="1F54B228" w14:textId="77777777" w:rsidR="00A01D3A" w:rsidRDefault="00A01D3A" w:rsidP="004A7A03">
            <w:pPr>
              <w:spacing w:after="0" w:line="240" w:lineRule="auto"/>
              <w:jc w:val="center"/>
              <w:rPr>
                <w:rFonts w:ascii="Arial" w:eastAsia="Arial" w:hAnsi="Arial" w:cs="Arial"/>
              </w:rPr>
            </w:pPr>
            <w:r>
              <w:rPr>
                <w:rFonts w:ascii="Arial" w:eastAsia="Arial" w:hAnsi="Arial" w:cs="Arial"/>
              </w:rPr>
              <w:t>Giá trị bao gồm khuyến mại giảm giá từ HTV &amp; Đại lý, quyền lợi Thẻ hội viên Hyundai hạng Bạch kim.</w:t>
            </w:r>
          </w:p>
        </w:tc>
      </w:tr>
      <w:tr w:rsidR="00A01D3A" w14:paraId="6A00C647" w14:textId="77777777" w:rsidTr="004A7A03">
        <w:trPr>
          <w:trHeight w:val="847"/>
          <w:jc w:val="center"/>
        </w:trPr>
        <w:tc>
          <w:tcPr>
            <w:tcW w:w="1375" w:type="dxa"/>
            <w:vAlign w:val="center"/>
          </w:tcPr>
          <w:p w14:paraId="27165FED" w14:textId="77777777" w:rsidR="00A01D3A" w:rsidRDefault="00A01D3A" w:rsidP="004A7A03">
            <w:pPr>
              <w:spacing w:after="0" w:line="240" w:lineRule="auto"/>
              <w:jc w:val="center"/>
              <w:rPr>
                <w:rFonts w:ascii="Arial" w:eastAsia="Arial" w:hAnsi="Arial" w:cs="Arial"/>
              </w:rPr>
            </w:pPr>
            <w:r>
              <w:rPr>
                <w:rFonts w:ascii="Arial" w:eastAsia="Arial" w:hAnsi="Arial" w:cs="Arial"/>
              </w:rPr>
              <w:t>5</w:t>
            </w:r>
          </w:p>
        </w:tc>
        <w:tc>
          <w:tcPr>
            <w:tcW w:w="2811" w:type="dxa"/>
            <w:vAlign w:val="center"/>
          </w:tcPr>
          <w:p w14:paraId="206AC597" w14:textId="77777777" w:rsidR="00A01D3A" w:rsidRDefault="00A01D3A" w:rsidP="004A7A03">
            <w:pPr>
              <w:spacing w:after="0" w:line="240" w:lineRule="auto"/>
              <w:jc w:val="both"/>
              <w:rPr>
                <w:rFonts w:ascii="Arial" w:eastAsia="Arial" w:hAnsi="Arial" w:cs="Arial"/>
              </w:rPr>
            </w:pPr>
            <w:r>
              <w:rPr>
                <w:rFonts w:ascii="Arial" w:eastAsia="Arial" w:hAnsi="Arial" w:cs="Arial"/>
              </w:rPr>
              <w:t>Hyundai Creta</w:t>
            </w:r>
          </w:p>
        </w:tc>
        <w:tc>
          <w:tcPr>
            <w:tcW w:w="2418" w:type="dxa"/>
            <w:vAlign w:val="center"/>
          </w:tcPr>
          <w:p w14:paraId="3B2AF810" w14:textId="77777777" w:rsidR="00A01D3A" w:rsidRDefault="00A01D3A" w:rsidP="004A7A03">
            <w:pPr>
              <w:widowControl w:val="0"/>
              <w:spacing w:after="0" w:line="240" w:lineRule="auto"/>
              <w:jc w:val="center"/>
              <w:rPr>
                <w:rFonts w:ascii="Arial" w:eastAsia="Arial" w:hAnsi="Arial" w:cs="Arial"/>
              </w:rPr>
            </w:pPr>
            <w:r>
              <w:rPr>
                <w:rFonts w:ascii="Arial" w:eastAsia="Arial" w:hAnsi="Arial" w:cs="Arial"/>
              </w:rPr>
              <w:t>50.000.000</w:t>
            </w:r>
          </w:p>
        </w:tc>
        <w:tc>
          <w:tcPr>
            <w:tcW w:w="2418" w:type="dxa"/>
            <w:vMerge/>
            <w:vAlign w:val="center"/>
          </w:tcPr>
          <w:p w14:paraId="7A7B5F37" w14:textId="77777777" w:rsidR="00A01D3A" w:rsidRDefault="00A01D3A" w:rsidP="004A7A03">
            <w:pPr>
              <w:widowControl w:val="0"/>
              <w:spacing w:after="0" w:line="240" w:lineRule="auto"/>
              <w:jc w:val="center"/>
              <w:rPr>
                <w:rFonts w:ascii="Arial" w:eastAsia="Arial" w:hAnsi="Arial" w:cs="Arial"/>
              </w:rPr>
            </w:pPr>
          </w:p>
        </w:tc>
      </w:tr>
      <w:tr w:rsidR="00A01D3A" w14:paraId="0CACCE66" w14:textId="77777777" w:rsidTr="004A7A03">
        <w:trPr>
          <w:trHeight w:val="834"/>
          <w:jc w:val="center"/>
        </w:trPr>
        <w:tc>
          <w:tcPr>
            <w:tcW w:w="1375" w:type="dxa"/>
            <w:vAlign w:val="center"/>
          </w:tcPr>
          <w:p w14:paraId="3AC37107" w14:textId="77777777" w:rsidR="00A01D3A" w:rsidRDefault="00A01D3A" w:rsidP="004A7A03">
            <w:pPr>
              <w:spacing w:after="0" w:line="240" w:lineRule="auto"/>
              <w:jc w:val="center"/>
              <w:rPr>
                <w:rFonts w:ascii="Arial" w:eastAsia="Arial" w:hAnsi="Arial" w:cs="Arial"/>
              </w:rPr>
            </w:pPr>
            <w:r>
              <w:rPr>
                <w:rFonts w:ascii="Arial" w:eastAsia="Arial" w:hAnsi="Arial" w:cs="Arial"/>
              </w:rPr>
              <w:t>6</w:t>
            </w:r>
          </w:p>
        </w:tc>
        <w:tc>
          <w:tcPr>
            <w:tcW w:w="2811" w:type="dxa"/>
            <w:vAlign w:val="center"/>
          </w:tcPr>
          <w:p w14:paraId="76D3EE35" w14:textId="77777777" w:rsidR="00A01D3A" w:rsidRDefault="00A01D3A" w:rsidP="004A7A03">
            <w:pPr>
              <w:spacing w:after="0" w:line="240" w:lineRule="auto"/>
              <w:jc w:val="both"/>
              <w:rPr>
                <w:rFonts w:ascii="Arial" w:eastAsia="Arial" w:hAnsi="Arial" w:cs="Arial"/>
              </w:rPr>
            </w:pPr>
            <w:r>
              <w:rPr>
                <w:rFonts w:ascii="Arial" w:eastAsia="Arial" w:hAnsi="Arial" w:cs="Arial"/>
              </w:rPr>
              <w:t>Hyundai Tucson</w:t>
            </w:r>
          </w:p>
        </w:tc>
        <w:tc>
          <w:tcPr>
            <w:tcW w:w="2418" w:type="dxa"/>
            <w:vAlign w:val="center"/>
          </w:tcPr>
          <w:p w14:paraId="3B667133" w14:textId="77777777" w:rsidR="00A01D3A" w:rsidRDefault="00A01D3A" w:rsidP="004A7A03">
            <w:pPr>
              <w:spacing w:after="0" w:line="240" w:lineRule="auto"/>
              <w:jc w:val="center"/>
              <w:rPr>
                <w:rFonts w:ascii="Arial" w:eastAsia="Arial" w:hAnsi="Arial" w:cs="Arial"/>
              </w:rPr>
            </w:pPr>
            <w:r>
              <w:rPr>
                <w:rFonts w:ascii="Arial" w:eastAsia="Arial" w:hAnsi="Arial" w:cs="Arial"/>
              </w:rPr>
              <w:t>58.000.000</w:t>
            </w:r>
          </w:p>
        </w:tc>
        <w:tc>
          <w:tcPr>
            <w:tcW w:w="2418" w:type="dxa"/>
            <w:vMerge/>
            <w:vAlign w:val="center"/>
          </w:tcPr>
          <w:p w14:paraId="64117470" w14:textId="77777777" w:rsidR="00A01D3A" w:rsidRDefault="00A01D3A" w:rsidP="004A7A03">
            <w:pPr>
              <w:spacing w:after="0" w:line="240" w:lineRule="auto"/>
              <w:jc w:val="center"/>
              <w:rPr>
                <w:rFonts w:ascii="Arial" w:eastAsia="Arial" w:hAnsi="Arial" w:cs="Arial"/>
              </w:rPr>
            </w:pPr>
          </w:p>
        </w:tc>
      </w:tr>
    </w:tbl>
    <w:p w14:paraId="5C76CD22" w14:textId="77777777" w:rsidR="00A01D3A" w:rsidRDefault="00A01D3A" w:rsidP="00A01D3A">
      <w:pPr>
        <w:spacing w:after="0" w:line="240" w:lineRule="auto"/>
        <w:jc w:val="both"/>
        <w:rPr>
          <w:rFonts w:ascii="Arial" w:eastAsia="Arial" w:hAnsi="Arial" w:cs="Arial"/>
        </w:rPr>
      </w:pPr>
      <w:r>
        <w:rPr>
          <w:rFonts w:ascii="Arial" w:eastAsia="Arial" w:hAnsi="Arial" w:cs="Arial"/>
        </w:rPr>
        <w:t>(*) Chương trình chỉ áp dụng cho các mẫu xe sản xuất 2025.</w:t>
      </w:r>
    </w:p>
    <w:p w14:paraId="54A88663" w14:textId="77777777" w:rsidR="00A01D3A" w:rsidRDefault="00A01D3A" w:rsidP="00A01D3A">
      <w:pPr>
        <w:spacing w:after="0" w:line="240" w:lineRule="auto"/>
        <w:jc w:val="both"/>
        <w:rPr>
          <w:rFonts w:ascii="Arial" w:eastAsia="Arial" w:hAnsi="Arial" w:cs="Arial"/>
          <w:highlight w:val="white"/>
        </w:rPr>
      </w:pPr>
      <w:r>
        <w:rPr>
          <w:rFonts w:ascii="Arial" w:eastAsia="Arial" w:hAnsi="Arial" w:cs="Arial"/>
          <w:highlight w:val="white"/>
        </w:rPr>
        <w:t>Theo đó, toàn bộ các phiên bản Hyundai Santa Fe, Hyundai Accent, Hyundai Stargazer và Hyundai Grand i10 đều được áp dụng chính sách bảo hành 8 năm hoặc 120.000 km (tùy theo điều kiện đạt trước). Hyundai Thành Công Việt Nam tự tin với dịch vụ hậu mãi xuất sắc và thời hạn bảo hành dẫn đầu thị trường. HTV cũng là doanh nghiệp đi đầu khi nâng chế độ bảo hành lên 5 năm thay vì mức 3 năm thông thường của thị trường từ năm 2021.</w:t>
      </w:r>
    </w:p>
    <w:p w14:paraId="60387987" w14:textId="77777777" w:rsidR="00A01D3A" w:rsidRDefault="00A01D3A" w:rsidP="00A01D3A">
      <w:pPr>
        <w:spacing w:after="0" w:line="240" w:lineRule="auto"/>
        <w:jc w:val="both"/>
        <w:rPr>
          <w:rFonts w:ascii="Arial" w:eastAsia="Arial" w:hAnsi="Arial" w:cs="Arial"/>
          <w:highlight w:val="white"/>
        </w:rPr>
      </w:pPr>
      <w:r>
        <w:rPr>
          <w:rFonts w:ascii="Arial" w:eastAsia="Arial" w:hAnsi="Arial" w:cs="Arial"/>
          <w:highlight w:val="white"/>
        </w:rPr>
        <w:t>Hyundai Thành Công Việt Nam một lần nữa khẳng định vị thế dẫn đầu với chính sách chăm sóc khách hàng vượt trội, mang đến chế độ bảo hành kéo dài nhất trên thị trường. Trước đó vào năm 2021, HTV đã tiên phong nâng mức bảo hành từ 3 năm lên 5 năm, vượt xa chuẩn mực chung của ngành.</w:t>
      </w:r>
    </w:p>
    <w:p w14:paraId="719B09A8" w14:textId="77777777" w:rsidR="00A01D3A" w:rsidRDefault="00A01D3A" w:rsidP="00A01D3A">
      <w:pPr>
        <w:shd w:val="clear" w:color="auto" w:fill="FFFFFF"/>
        <w:spacing w:after="0" w:line="240" w:lineRule="auto"/>
        <w:jc w:val="both"/>
        <w:rPr>
          <w:rFonts w:ascii="Arial" w:eastAsia="Arial" w:hAnsi="Arial" w:cs="Arial"/>
          <w:highlight w:val="white"/>
        </w:rPr>
      </w:pPr>
      <w:r>
        <w:rPr>
          <w:rFonts w:ascii="Arial" w:eastAsia="Arial" w:hAnsi="Arial" w:cs="Arial"/>
          <w:highlight w:val="white"/>
        </w:rPr>
        <w:t>Chia sẻ về chương trình này, đại diện HTV cho biết: "Hyundai Thành Công Việt Nam hiểu rằng việc mua xe không chỉ là quyết định tài chính quan trọng mà còn là sự gửi gắm niềm tin vào chất lượng và hiệu suất bền vững. Nỗi lo về chi phí bảo dưỡng và nguy cơ hư hỏng sau khi hết bảo hành cơ bản vẫn là mối băn khoăn của đa số khách hàng."</w:t>
      </w:r>
    </w:p>
    <w:p w14:paraId="63CE5529" w14:textId="77777777" w:rsidR="00A01D3A" w:rsidRDefault="00A01D3A" w:rsidP="00A01D3A">
      <w:pPr>
        <w:shd w:val="clear" w:color="auto" w:fill="FFFFFF"/>
        <w:spacing w:after="0" w:line="240" w:lineRule="auto"/>
        <w:jc w:val="both"/>
        <w:rPr>
          <w:rFonts w:ascii="Arial" w:eastAsia="Arial" w:hAnsi="Arial" w:cs="Arial"/>
          <w:highlight w:val="white"/>
        </w:rPr>
      </w:pPr>
      <w:r>
        <w:rPr>
          <w:rFonts w:ascii="Arial" w:eastAsia="Arial" w:hAnsi="Arial" w:cs="Arial"/>
          <w:highlight w:val="white"/>
        </w:rPr>
        <w:t xml:space="preserve">"Chương trình Bảo hành 8 năm không đơn thuần là việc gia hạn bảo hành, mà là lời cam đoan vững chắc nhất của chúng tôi về chất lượng sản phẩm và tinh thần trách nhiệm với khách hàng. Với thời hạn bảo hành gần gấp đôi so với thị trường, chúng tôi mong muốn mang </w:t>
      </w:r>
      <w:r>
        <w:rPr>
          <w:rFonts w:ascii="Arial" w:eastAsia="Arial" w:hAnsi="Arial" w:cs="Arial"/>
          <w:highlight w:val="white"/>
        </w:rPr>
        <w:lastRenderedPageBreak/>
        <w:t>lại sự an tâm hoàn toàn, để khách hàng có thể tận hưởng từng chặng đường mà không phải lo lắng về các sự cố kỹ thuật trong suốt 8 năm. Đây chính là cách chúng tôi hiện thực hóa cam kết về trải nghiệm lái xe trọn vẹn, lâu dài và không lo toan," đại diện HTV nhấn mạnh.</w:t>
      </w:r>
    </w:p>
    <w:p w14:paraId="7DA5EBB8" w14:textId="77777777" w:rsidR="00A01D3A" w:rsidRDefault="00A01D3A" w:rsidP="00A01D3A">
      <w:pPr>
        <w:shd w:val="clear" w:color="auto" w:fill="FFFFFF"/>
        <w:spacing w:after="0" w:line="240" w:lineRule="auto"/>
        <w:jc w:val="both"/>
        <w:rPr>
          <w:rFonts w:ascii="Arial" w:eastAsia="Arial" w:hAnsi="Arial" w:cs="Arial"/>
        </w:rPr>
      </w:pPr>
      <w:r>
        <w:rPr>
          <w:rFonts w:ascii="Arial" w:eastAsia="Arial" w:hAnsi="Arial" w:cs="Arial"/>
        </w:rPr>
        <w:t>Chương trình được áp dụng tại các Đại lý ủy quyền Hyundai trên toàn quốc với các hợp đồng mua bán được giao dịch thành công trong tháng.</w:t>
      </w:r>
    </w:p>
    <w:p w14:paraId="6150EC46" w14:textId="77777777" w:rsidR="00A01D3A" w:rsidRDefault="00A01D3A" w:rsidP="00A01D3A">
      <w:pPr>
        <w:shd w:val="clear" w:color="auto" w:fill="FFFFFF"/>
        <w:spacing w:after="0" w:line="240" w:lineRule="auto"/>
        <w:jc w:val="both"/>
        <w:rPr>
          <w:rFonts w:ascii="Arial" w:eastAsia="Arial" w:hAnsi="Arial" w:cs="Arial"/>
        </w:rPr>
      </w:pPr>
      <w:r>
        <w:rPr>
          <w:rFonts w:ascii="Arial" w:eastAsia="Arial" w:hAnsi="Arial" w:cs="Arial"/>
        </w:rPr>
        <w:t>Để biết thêm thông tin chi tiết về chương trình cũng như thông tin các sản phẩm xe ô tô Hyundai, quý khách hàng vui lòng liên hệ:</w:t>
      </w:r>
    </w:p>
    <w:p w14:paraId="78853223" w14:textId="77777777" w:rsidR="00A01D3A" w:rsidRDefault="00A01D3A" w:rsidP="00A01D3A">
      <w:pPr>
        <w:shd w:val="clear" w:color="auto" w:fill="FFFFFF"/>
        <w:spacing w:after="0" w:line="240" w:lineRule="auto"/>
        <w:jc w:val="both"/>
        <w:rPr>
          <w:rFonts w:ascii="Arial" w:eastAsia="Arial" w:hAnsi="Arial" w:cs="Arial"/>
        </w:rPr>
      </w:pPr>
      <w:r>
        <w:rPr>
          <w:rFonts w:ascii="Arial" w:eastAsia="Arial" w:hAnsi="Arial" w:cs="Arial"/>
        </w:rPr>
        <w:t xml:space="preserve">- Website: https://hyundai.thanhcong.vn/ </w:t>
      </w:r>
    </w:p>
    <w:p w14:paraId="28E15A75" w14:textId="77777777" w:rsidR="00A01D3A" w:rsidRDefault="00A01D3A" w:rsidP="00A01D3A">
      <w:pPr>
        <w:shd w:val="clear" w:color="auto" w:fill="FFFFFF"/>
        <w:spacing w:after="0" w:line="240" w:lineRule="auto"/>
        <w:jc w:val="both"/>
        <w:rPr>
          <w:rFonts w:ascii="Arial" w:eastAsia="Arial" w:hAnsi="Arial" w:cs="Arial"/>
        </w:rPr>
      </w:pPr>
      <w:r>
        <w:rPr>
          <w:rFonts w:ascii="Arial" w:eastAsia="Arial" w:hAnsi="Arial" w:cs="Arial"/>
        </w:rPr>
        <w:t>- Hotline: 1900 561212</w:t>
      </w:r>
    </w:p>
    <w:p w14:paraId="68580A27" w14:textId="77777777" w:rsidR="00A01D3A" w:rsidRDefault="00A01D3A" w:rsidP="00A01D3A">
      <w:pPr>
        <w:shd w:val="clear" w:color="auto" w:fill="FFFFFF"/>
        <w:spacing w:after="0" w:line="240" w:lineRule="auto"/>
        <w:jc w:val="both"/>
        <w:rPr>
          <w:rFonts w:ascii="Arial" w:eastAsia="Arial" w:hAnsi="Arial" w:cs="Arial"/>
        </w:rPr>
      </w:pPr>
      <w:r>
        <w:rPr>
          <w:rFonts w:ascii="Arial" w:eastAsia="Arial" w:hAnsi="Arial" w:cs="Arial"/>
        </w:rPr>
        <w:t xml:space="preserve">- Thông tin hệ thống đại lý: </w:t>
      </w:r>
      <w:hyperlink r:id="rId4">
        <w:r>
          <w:rPr>
            <w:rFonts w:ascii="Arial" w:eastAsia="Arial" w:hAnsi="Arial" w:cs="Arial"/>
            <w:color w:val="1155CC"/>
            <w:u w:val="single"/>
          </w:rPr>
          <w:t>https://hyundai.thanhcong.vn/thong-tin-dai-ly</w:t>
        </w:r>
      </w:hyperlink>
      <w:r>
        <w:rPr>
          <w:rFonts w:ascii="Arial" w:eastAsia="Arial" w:hAnsi="Arial" w:cs="Arial"/>
        </w:rPr>
        <w:t xml:space="preserve">  </w:t>
      </w:r>
    </w:p>
    <w:p w14:paraId="148A573B" w14:textId="77777777" w:rsidR="00A01D3A" w:rsidRDefault="00A01D3A" w:rsidP="00A01D3A">
      <w:pPr>
        <w:tabs>
          <w:tab w:val="left" w:pos="0"/>
        </w:tabs>
        <w:spacing w:after="0" w:line="240" w:lineRule="auto"/>
        <w:ind w:left="720"/>
        <w:jc w:val="center"/>
        <w:rPr>
          <w:rFonts w:ascii="Arial" w:eastAsia="Arial" w:hAnsi="Arial" w:cs="Arial"/>
        </w:rPr>
      </w:pPr>
      <w:r>
        <w:rPr>
          <w:rFonts w:ascii="Arial" w:eastAsia="Arial" w:hAnsi="Arial" w:cs="Arial"/>
        </w:rPr>
        <w:t>-----------oOo-----------</w:t>
      </w:r>
    </w:p>
    <w:p w14:paraId="1A413CD7" w14:textId="77777777" w:rsidR="00A01D3A" w:rsidRDefault="00A01D3A" w:rsidP="00A01D3A">
      <w:pPr>
        <w:spacing w:after="0" w:line="240" w:lineRule="auto"/>
        <w:jc w:val="both"/>
        <w:rPr>
          <w:rFonts w:ascii="Arial" w:eastAsia="Arial" w:hAnsi="Arial" w:cs="Arial"/>
          <w:b/>
          <w:bCs/>
          <w:i/>
          <w:iCs/>
          <w:color w:val="808080"/>
          <w:u w:val="single"/>
        </w:rPr>
      </w:pPr>
      <w:r>
        <w:rPr>
          <w:rFonts w:ascii="Arial" w:eastAsia="Arial" w:hAnsi="Arial" w:cs="Arial"/>
          <w:b/>
          <w:bCs/>
          <w:i/>
          <w:iCs/>
          <w:color w:val="808080"/>
          <w:u w:val="single"/>
        </w:rPr>
        <w:t>Thông tin tham khảo:</w:t>
      </w:r>
    </w:p>
    <w:p w14:paraId="53C7C5BE" w14:textId="77777777" w:rsidR="00A01D3A" w:rsidRDefault="00A01D3A" w:rsidP="00A01D3A">
      <w:pPr>
        <w:spacing w:after="0" w:line="240" w:lineRule="auto"/>
        <w:jc w:val="both"/>
        <w:rPr>
          <w:rFonts w:ascii="Arial" w:eastAsia="Arial" w:hAnsi="Arial" w:cs="Arial"/>
          <w:i/>
          <w:iCs/>
          <w:color w:val="767171"/>
        </w:rPr>
      </w:pPr>
      <w:r>
        <w:rPr>
          <w:rFonts w:ascii="Arial" w:eastAsia="Arial" w:hAnsi="Arial" w:cs="Arial"/>
          <w:i/>
          <w:iCs/>
          <w:color w:val="767171"/>
        </w:rPr>
        <w:t>TC Group (Tập đoàn Thành Công) thành lập năm 1999 với định hướng đóng vai trò quan trọng trong chuỗi cung ứng toàn cầu trong lĩnh vực sản xuất, phân phối ô tô, cung cấp phụ tùng và linh kiện ô tô chuyên nghiệp.</w:t>
      </w:r>
    </w:p>
    <w:p w14:paraId="03C86AAB" w14:textId="5B53DF32" w:rsidR="00A01D3A" w:rsidRPr="00A01D3A" w:rsidRDefault="00A01D3A" w:rsidP="00A01D3A">
      <w:pPr>
        <w:rPr>
          <w:lang w:val="vi-VN"/>
        </w:rPr>
      </w:pPr>
      <w:bookmarkStart w:id="1" w:name="_heading=h.yncsbst5kuce" w:colFirst="0" w:colLast="0"/>
      <w:bookmarkEnd w:id="1"/>
      <w:r>
        <w:rPr>
          <w:rFonts w:ascii="Arial" w:eastAsia="Arial" w:hAnsi="Arial" w:cs="Arial"/>
          <w:i/>
          <w:iCs/>
          <w:color w:val="767171"/>
        </w:rPr>
        <w:t>Năm 2009, TC Group chính thức ký kết hợp tác cùng Hyundai Motor trong mảng sản xuất, phân phối ô tô du lịch tại thị trường Việt Nam. Liên doanh TC Group và Hyundai Motor đã đưa thương hiệu Hyundai trở thành một trong những thương hiệu hàng đầu tại Việt Nam với nhiều thành quả đáng tự hào. Các mẫu xe do Hyundai Thành Công sản xuất và phân phối được khách hàng và thị trường đón nhận, cũng như chiếm lĩnh thị phần lớn trong từng phân khúc</w:t>
      </w:r>
      <w:r>
        <w:rPr>
          <w:rFonts w:ascii="Arial" w:eastAsia="Arial" w:hAnsi="Arial" w:cs="Arial"/>
          <w:i/>
          <w:iCs/>
          <w:color w:val="767171"/>
          <w:lang w:val="vi-VN"/>
        </w:rPr>
        <w:t>.</w:t>
      </w:r>
    </w:p>
    <w:sectPr w:rsidR="00A01D3A" w:rsidRPr="00A01D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3A"/>
    <w:rsid w:val="00A01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BCAC36"/>
  <w15:chartTrackingRefBased/>
  <w15:docId w15:val="{5C9E7A92-E96A-704E-8450-66ED0625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D3A"/>
    <w:pPr>
      <w:spacing w:after="160" w:line="259" w:lineRule="auto"/>
    </w:pPr>
    <w:rPr>
      <w:rFonts w:ascii="Calibri" w:eastAsia="Calibri" w:hAnsi="Calibri" w:cs="Calibri"/>
      <w:sz w:val="22"/>
      <w:szCs w:val="22"/>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yundai.thanhcong.vn/thong-tin-da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2026-01-05T11:57:00Z</dcterms:created>
  <dcterms:modified xsi:type="dcterms:W3CDTF">2026-01-05T11:57:00Z</dcterms:modified>
</cp:coreProperties>
</file>