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25272" w14:textId="77777777" w:rsidR="002E16BF" w:rsidRDefault="00000000">
      <w:pPr>
        <w:pBdr>
          <w:top w:val="nil"/>
          <w:left w:val="nil"/>
          <w:bottom w:val="nil"/>
          <w:right w:val="nil"/>
          <w:between w:val="nil"/>
        </w:pBdr>
        <w:rPr>
          <w:rFonts w:ascii="Arial" w:eastAsia="Arial" w:hAnsi="Arial" w:cs="Arial"/>
          <w:b/>
          <w:bCs/>
          <w:color w:val="000000"/>
          <w:sz w:val="36"/>
          <w:szCs w:val="36"/>
        </w:rPr>
      </w:pPr>
      <w:r>
        <w:rPr>
          <w:rFonts w:ascii="Arial" w:eastAsia="Arial" w:hAnsi="Arial" w:cs="Arial"/>
          <w:b/>
          <w:bCs/>
          <w:color w:val="000000"/>
          <w:sz w:val="36"/>
          <w:szCs w:val="36"/>
        </w:rPr>
        <w:t>Ford Giới Thiệu Triết Lý Thương Hiệu Toàn Cầu ‘Ready Set Ford’, Giúp Mỗi Người Phát Huy Tối Đa Tiềm Năng Và Sẵn Sàng Cho Mọi Hành Trình Phía Trước</w:t>
      </w:r>
    </w:p>
    <w:p w14:paraId="2F21E217" w14:textId="77777777" w:rsidR="002E16BF" w:rsidRDefault="002E16BF">
      <w:pPr>
        <w:pBdr>
          <w:top w:val="nil"/>
          <w:left w:val="nil"/>
          <w:bottom w:val="nil"/>
          <w:right w:val="nil"/>
          <w:between w:val="nil"/>
        </w:pBdr>
        <w:ind w:left="720"/>
        <w:rPr>
          <w:rFonts w:ascii="Arial" w:eastAsia="Arial" w:hAnsi="Arial" w:cs="Arial"/>
          <w:color w:val="000000"/>
          <w:sz w:val="22"/>
          <w:szCs w:val="22"/>
        </w:rPr>
      </w:pPr>
    </w:p>
    <w:p w14:paraId="41EB6957" w14:textId="77777777" w:rsidR="002E16BF"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Ready Set Ford đánh dấu sự chuyển dịch từ cách tiếp cận lấy sản phẩm làm trung tâm sang lấy con người làm trung tâm, nơi phương tiện, công nghệ và dịch vụ trở thành công cụ giúp khách hàng làm được nhiều hơn trong cuộc sống hằng ngày.</w:t>
      </w:r>
    </w:p>
    <w:p w14:paraId="7F351867" w14:textId="77777777" w:rsidR="002E16BF" w:rsidRDefault="002E16BF">
      <w:pPr>
        <w:rPr>
          <w:rFonts w:ascii="Arial" w:eastAsia="Arial" w:hAnsi="Arial" w:cs="Arial"/>
          <w:color w:val="000000"/>
          <w:sz w:val="22"/>
          <w:szCs w:val="22"/>
        </w:rPr>
      </w:pPr>
    </w:p>
    <w:p w14:paraId="32F6138A" w14:textId="77777777" w:rsidR="002E16BF"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Ba giá trị cốt lõi gồm Kiến tạo (Build), Bứt phá (Thrill) và Khám phá (Adventure) định hình cách Ford kết nối với khách hàng, đồng thời dẫn dắt việc phát triển danh mục sản phẩm và trải nghiệm toàn cầu một cách nhất quán.</w:t>
      </w:r>
    </w:p>
    <w:p w14:paraId="2558732B" w14:textId="77777777" w:rsidR="002E16BF" w:rsidRDefault="002E16BF">
      <w:pPr>
        <w:rPr>
          <w:rFonts w:ascii="Arial" w:eastAsia="Arial" w:hAnsi="Arial" w:cs="Arial"/>
          <w:color w:val="000000"/>
          <w:sz w:val="22"/>
          <w:szCs w:val="22"/>
        </w:rPr>
      </w:pPr>
    </w:p>
    <w:p w14:paraId="4D4710E3" w14:textId="77777777" w:rsidR="002E16BF"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Tại Việt Nam, Ready Set Ford được hiện thực hóa thông qua dải sản phẩm Ranger và Everest được nâng cấp, cùng với hệ sinh thái dịch vụ ngày càng mở rộng, mang đến trải nghiệm sở hữu liền mạch và thiết thực hơn cho khách hàng.</w:t>
      </w:r>
    </w:p>
    <w:p w14:paraId="3A5FAD41" w14:textId="77777777" w:rsidR="002E16BF" w:rsidRDefault="002E16BF">
      <w:pPr>
        <w:pBdr>
          <w:top w:val="nil"/>
          <w:left w:val="nil"/>
          <w:bottom w:val="nil"/>
          <w:right w:val="nil"/>
          <w:between w:val="nil"/>
        </w:pBdr>
        <w:ind w:left="720"/>
        <w:rPr>
          <w:rFonts w:ascii="Arial" w:eastAsia="Arial" w:hAnsi="Arial" w:cs="Arial"/>
          <w:color w:val="000000"/>
          <w:sz w:val="22"/>
          <w:szCs w:val="22"/>
        </w:rPr>
      </w:pPr>
    </w:p>
    <w:p w14:paraId="038679D3" w14:textId="77777777" w:rsidR="002E16BF"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b/>
          <w:bCs/>
          <w:color w:val="000000"/>
          <w:sz w:val="22"/>
          <w:szCs w:val="22"/>
        </w:rPr>
        <w:t>ĐÀ NẴNG, Việt Nam, ngày 07 tháng 5 năm 2026</w:t>
      </w:r>
      <w:r>
        <w:rPr>
          <w:rFonts w:ascii="Arial" w:eastAsia="Arial" w:hAnsi="Arial" w:cs="Arial"/>
          <w:color w:val="000000"/>
          <w:sz w:val="22"/>
          <w:szCs w:val="22"/>
        </w:rPr>
        <w:t xml:space="preserve"> – Ford giới thiệu triết lý thương hiệu toàn cầu mới mang tên Ready Set Ford, đánh dấu bước chuyển mình chiến lược quan trọng trong cách thương hiệu kết nối với khách hàng, với mục tiêu giúp mỗi người khai phá tiềm năng, theo đuổi đam mê và sẵn sàng cho mọi điều phía trước.</w:t>
      </w:r>
    </w:p>
    <w:p w14:paraId="58FC33A5"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Lần đầu tiên sau nhiều thập kỷ, Ford thiết lập một định hướng chung xuyên suốt trên toàn bộ các thị trường, bao trùm từ phát triển sản phẩm, nâng cấp dịch vụ đến cách thương hiệu kể câu chuyện của mình.</w:t>
      </w:r>
    </w:p>
    <w:p w14:paraId="5E563049"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Cốt lõi của triết lý này nằm ở cách Ford đồng hành cùng khách hàng, với sự chuyển dịch rõ ràng từ tư duy lấy sản phẩm làm trung tâm sang lấy con người làm trọng tâm. Thay vì chỉ nhấn mạnh vào những gì được tạo ra, Ford hướng đến những giá trị mà khách hàng có thể đạt được trong hành trình của mình. Mỗi sản phẩm, mỗi công nghệ và mỗi trải nghiệm đều được thiết kế như những công cụ giúp con người trở nên bản lĩnh hơn, tự tin hơn và chủ động hơn trong cuộc sống.</w:t>
      </w:r>
    </w:p>
    <w:p w14:paraId="2B873737"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Sự thay đổi này được thể hiện qua ba tinh thần chủ đạo. Đó là tinh thần Kiến tạo (Build) của những con người bền bỉ xây dựng giá trị cho công việc và cộng đồng. Tinh thần Bứt phá (Thrill) của những người không ngừng thử thách giới hạn và định nghĩa lại những điều có thể. Và tinh thần Khám phá (Adventure) sẵn sàng dấn bước, tìm kiếm trải nghiệm mới và mở rộng góc nhìn về thế giới xung quanh.</w:t>
      </w:r>
    </w:p>
    <w:p w14:paraId="7D5DF286"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Ba tinh thần này không chỉ là nền tảng cho cách Ford kết nối với khách hàng, mà còn trở thành định hướng xuyên suốt trong việc phát triển hệ sinh thái sản phẩm và trải nghiệm, đảm bảo sự nhất quán của thương hiệu trên phạm vi toàn cầu.</w:t>
      </w:r>
    </w:p>
    <w:p w14:paraId="182DEBB4" w14:textId="77777777" w:rsidR="002E16BF" w:rsidRDefault="00000000">
      <w:pPr>
        <w:pBdr>
          <w:top w:val="nil"/>
          <w:left w:val="nil"/>
          <w:bottom w:val="nil"/>
          <w:right w:val="nil"/>
          <w:between w:val="nil"/>
        </w:pBdr>
        <w:shd w:val="clear" w:color="auto" w:fill="FFFFFF"/>
        <w:spacing w:before="280" w:after="280"/>
        <w:rPr>
          <w:rFonts w:ascii="Arial" w:eastAsia="Arial" w:hAnsi="Arial" w:cs="Arial"/>
          <w:b/>
          <w:bCs/>
          <w:color w:val="000000"/>
          <w:sz w:val="22"/>
          <w:szCs w:val="22"/>
        </w:rPr>
      </w:pPr>
      <w:r>
        <w:rPr>
          <w:rFonts w:ascii="Arial" w:eastAsia="Arial" w:hAnsi="Arial" w:cs="Arial"/>
          <w:b/>
          <w:bCs/>
          <w:color w:val="000000"/>
          <w:sz w:val="22"/>
          <w:szCs w:val="22"/>
        </w:rPr>
        <w:t>Ready Set Ford – Sẵn Sàng Kiến Tạo, Bứt Phá và Khám Phá</w:t>
      </w:r>
    </w:p>
    <w:p w14:paraId="34B816F5"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lastRenderedPageBreak/>
        <w:t>Lấy cảm hứng từ khoảnh khắc xuất phát, Ready Set Ford không chỉ là một tín hiệu khởi đầu, mà còn mở ra một hành trình dài hạn trong cách Ford hiện diện và đồng hành cùng khách hàng.</w:t>
      </w:r>
    </w:p>
    <w:p w14:paraId="1555822F"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Tại Việt Nam, triết lý này không dừng lại ở thông điệp, mà được thể hiện rõ qua những thay đổi cụ thể trong sản phẩm, dịch vụ và trải nghiệm.</w:t>
      </w:r>
    </w:p>
    <w:p w14:paraId="0C6FFC00"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Các sản phẩm chủ lực Ford Ranger và Ford Everest được làm mới, với những nâng cấp về hiệu suất vận hành, công nghệ thông minh và thiết kế hiện đại. Danh mục sản phẩm được mở rộng với nhiều cấu hình động cơ và phiên bản mới, mang đến sự linh hoạt cao hơn, đáp ứng đa dạng nhu cầu từ công việc, gia đình đến các hành trình khám phá.</w:t>
      </w:r>
    </w:p>
    <w:p w14:paraId="3F2344F2"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Việc bổ sung các tùy chọn động cơ, giúp gia tăng đáng kể khả năng vận hành, kéo tải và độ ổn định, đồng thời mang lại trải nghiệm lái mạnh mẽ và linh hoạt hơn trong nhiều điều kiện sử dụng. Các phiên bản như Ranger Wildtrak 3.0L V6 dầu, Ranger Raptor 3.0L Ecoboost xăng hiệu năng cao hay Everest Platinum+ 2.3L EcoBoost xăng không chỉ mở rộng giới hạn vận hành, mà còn nâng tầm trải nghiệm cho người dùng.</w:t>
      </w:r>
    </w:p>
    <w:p w14:paraId="4718D38D"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Song song với sản phẩm, Ford tiếp tục đầu tư mạnh mẽ vào hệ sinh thái dịch vụ nhằm nâng cao trải nghiệm khách hàng trong suốt vòng đời sử dụng xe. Các giải pháp hướng tới sự thuận tiện và linh hoạt, từ bảo dưỡng nhanh, nhận và giao xe tận nơi đến dịch vụ lưu động, giúp khách hàng chủ động quản lý thời gian mà vẫn đảm bảo phương tiện luôn trong trạng thái vận hành tối ưu.</w:t>
      </w:r>
    </w:p>
    <w:p w14:paraId="1E78A7AF" w14:textId="77777777" w:rsidR="002E16BF"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Trải nghiệm sở hữu cũng được đẩy mạnh thông qua các nền tảng kết nối, cho phép khách hàng theo dõi tình trạng xe, đặt lịch dịch vụ và tương tác trực tiếp với hệ thống đại lý. Đồng thời, việc triển khai tiêu chuẩn toàn cầu Ford Signature 2.0 góp phần giúp hành trình khách hàng theo hướng liền mạch và nhất quán tại đại lý, kết nối chặt chẽ giữa trực tuyến và trực tiếp.</w:t>
      </w:r>
    </w:p>
    <w:p w14:paraId="15C5A7CA" w14:textId="77777777" w:rsidR="002E16BF"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“Với Ready Set Ford, chúng tôi không chỉ phát triển những sản phẩm tốt hơn, mà còn hướng tới việc mang đến cho khách hàng những công cụ và trải nghiệm giúp họ tự tin hơn trong mọi hành trình. Từ việc nâng cấp hệ truyền động, mở rộng danh mục sản phẩm đến phát triển hệ sinh thái dịch vụ, tất cả đều nhằm hỗ trợ khách hàng làm được nhiều hơn, đi xa hơn và luôn sẵn sàng trong mọi tình huống.” Ông Ruchik Shah, Tổng Giám Đốc Ford Việt Nam chia sẻ. </w:t>
      </w:r>
    </w:p>
    <w:p w14:paraId="5AC2A13C" w14:textId="77777777" w:rsidR="002E16BF" w:rsidRDefault="002E16BF">
      <w:pPr>
        <w:pBdr>
          <w:top w:val="nil"/>
          <w:left w:val="nil"/>
          <w:bottom w:val="nil"/>
          <w:right w:val="nil"/>
          <w:between w:val="nil"/>
        </w:pBdr>
        <w:shd w:val="clear" w:color="auto" w:fill="FFFFFF"/>
        <w:spacing w:after="240"/>
        <w:rPr>
          <w:rFonts w:ascii="Arial" w:eastAsia="Arial" w:hAnsi="Arial" w:cs="Arial"/>
          <w:color w:val="000000"/>
          <w:sz w:val="22"/>
          <w:szCs w:val="22"/>
        </w:rPr>
      </w:pPr>
    </w:p>
    <w:p w14:paraId="77B0651E" w14:textId="77777777" w:rsidR="002E16BF" w:rsidRDefault="00000000">
      <w:pPr>
        <w:pBdr>
          <w:top w:val="nil"/>
          <w:left w:val="nil"/>
          <w:bottom w:val="nil"/>
          <w:right w:val="nil"/>
          <w:between w:val="nil"/>
        </w:pBdr>
        <w:spacing w:before="240" w:after="200"/>
        <w:jc w:val="center"/>
        <w:rPr>
          <w:color w:val="000000"/>
        </w:rPr>
      </w:pPr>
      <w:r>
        <w:rPr>
          <w:rFonts w:ascii="Arial" w:eastAsia="Arial" w:hAnsi="Arial" w:cs="Arial"/>
          <w:color w:val="000000"/>
          <w:sz w:val="22"/>
          <w:szCs w:val="22"/>
        </w:rPr>
        <w:t># # #</w:t>
      </w:r>
    </w:p>
    <w:p w14:paraId="4524266F" w14:textId="77777777" w:rsidR="002E16BF" w:rsidRDefault="00000000">
      <w:pPr>
        <w:rPr>
          <w:rFonts w:ascii="Arial" w:eastAsia="Arial" w:hAnsi="Arial" w:cs="Arial"/>
          <w:b/>
          <w:bCs/>
          <w:color w:val="000000"/>
          <w:sz w:val="20"/>
          <w:szCs w:val="20"/>
        </w:rPr>
      </w:pPr>
      <w:r>
        <w:rPr>
          <w:rFonts w:ascii="Arial" w:eastAsia="Arial" w:hAnsi="Arial" w:cs="Arial"/>
          <w:b/>
          <w:bCs/>
          <w:color w:val="000000"/>
          <w:sz w:val="20"/>
          <w:szCs w:val="20"/>
        </w:rPr>
        <w:t>Về công ty Ford Motor</w:t>
      </w:r>
    </w:p>
    <w:p w14:paraId="16E357F4" w14:textId="30401104" w:rsidR="002E16BF" w:rsidRDefault="00000000">
      <w:pPr>
        <w:rPr>
          <w:rFonts w:ascii="Arial" w:eastAsia="Arial" w:hAnsi="Arial" w:cs="Arial"/>
          <w:color w:val="000000"/>
          <w:sz w:val="20"/>
          <w:szCs w:val="20"/>
        </w:rPr>
      </w:pPr>
      <w:r>
        <w:rPr>
          <w:rFonts w:ascii="Arial" w:eastAsia="Arial" w:hAnsi="Arial" w:cs="Arial"/>
          <w:color w:val="000000"/>
          <w:sz w:val="20"/>
          <w:szCs w:val="20"/>
        </w:rPr>
        <w:t xml:space="preserve">Ford Motor Company (NYSE: F) là một công ty toàn cầu có trụ sở tại Dearborn, Michigan, cam kết giúp xây dựng một thế giới tốt đẹp hơn, nơi mọi người được tự do di chuyển và theo đuổi ước mơ của mình. Kế hoạch Ford + của công ty nhằm tăng trưởng và tạo ra giá trị từ sự kết hợp các điểm mạnh hiện có, năng lực mới và mối quan hệ luôn bền chặt với khách hàng để làm phong phú thêm trải nghiệm và nâng cao lòng trung thành của những khách hàng đó. Ford phát triển và cung cấp các loại xe tải Ford, xe thể thao đa dụng, xe tải thương mại, xe hơi thương mại và xe hơi hạng sang Lincoln, cũng như các dịch vụ kết nối, như công nghệ hỗ trợ lái tiên tiến BlueCruise (ADAS) và các giải pháp an ninh. Công ty hiện thực </w:t>
      </w:r>
      <w:r>
        <w:rPr>
          <w:rFonts w:ascii="Arial" w:eastAsia="Arial" w:hAnsi="Arial" w:cs="Arial"/>
          <w:color w:val="000000"/>
          <w:sz w:val="20"/>
          <w:szCs w:val="20"/>
        </w:rPr>
        <w:lastRenderedPageBreak/>
        <w:t>hóa điều này thông qua ba phân khúc kinh doanh lấy khách hàng làm trọng tâm gồm: Ford Blue, chế tạo các dòng xe xăng và xe hybrid mang tính biểu tượng về kỹ thuật; Ford Model e, phát triển các mẫu xe điện đột phá sở hữu hệ thống phần mềm đem đến những trải nghiệm số vượt trội cho khách hàng; và Ford Pro, hỗ trợ khách hàng thương mại chuyển đổi và mở rộng kinh doanh với sự đồng hành của các phương tiện và dịch vụ phù hợp với nhu cầu của họ. Ngoài ra, Ford cung cấp các dịch vụ tài chính thông qua Ford Motor Credit Company. Ford có khoảng 169.000 nhân viên trên toàn thế giới.</w:t>
      </w:r>
    </w:p>
    <w:p w14:paraId="2AB1E723" w14:textId="77777777" w:rsidR="002E16BF" w:rsidRDefault="002E16BF">
      <w:pPr>
        <w:rPr>
          <w:rFonts w:ascii="Arial" w:eastAsia="Arial" w:hAnsi="Arial" w:cs="Arial"/>
          <w:color w:val="000000"/>
          <w:sz w:val="20"/>
          <w:szCs w:val="20"/>
        </w:rPr>
      </w:pPr>
    </w:p>
    <w:tbl>
      <w:tblPr>
        <w:tblStyle w:val="a"/>
        <w:tblW w:w="10733" w:type="dxa"/>
        <w:tblInd w:w="0" w:type="dxa"/>
        <w:tblLayout w:type="fixed"/>
        <w:tblLook w:val="0400" w:firstRow="0" w:lastRow="0" w:firstColumn="0" w:lastColumn="0" w:noHBand="0" w:noVBand="1"/>
      </w:tblPr>
      <w:tblGrid>
        <w:gridCol w:w="10233"/>
        <w:gridCol w:w="250"/>
        <w:gridCol w:w="250"/>
      </w:tblGrid>
      <w:tr w:rsidR="002E16BF" w14:paraId="4E73DDF9" w14:textId="77777777">
        <w:trPr>
          <w:trHeight w:val="2072"/>
        </w:trPr>
        <w:tc>
          <w:tcPr>
            <w:tcW w:w="10258" w:type="dxa"/>
            <w:tcMar>
              <w:top w:w="0" w:type="dxa"/>
              <w:left w:w="115" w:type="dxa"/>
              <w:bottom w:w="0" w:type="dxa"/>
              <w:right w:w="115" w:type="dxa"/>
            </w:tcMar>
          </w:tcPr>
          <w:p w14:paraId="05FCE5BC" w14:textId="77777777" w:rsidR="002E16BF" w:rsidRDefault="002E16BF">
            <w:pPr>
              <w:rPr>
                <w:rFonts w:ascii="Arial" w:eastAsia="Arial" w:hAnsi="Arial" w:cs="Arial"/>
                <w:color w:val="000000"/>
                <w:sz w:val="20"/>
                <w:szCs w:val="20"/>
              </w:rPr>
            </w:pPr>
          </w:p>
          <w:p w14:paraId="04AD3B8B" w14:textId="77777777" w:rsidR="002E16BF" w:rsidRDefault="002E16BF">
            <w:pPr>
              <w:rPr>
                <w:rFonts w:ascii="Arial" w:eastAsia="Arial" w:hAnsi="Arial" w:cs="Arial"/>
                <w:color w:val="000000"/>
                <w:sz w:val="20"/>
                <w:szCs w:val="20"/>
              </w:rPr>
            </w:pPr>
          </w:p>
        </w:tc>
        <w:tc>
          <w:tcPr>
            <w:tcW w:w="238" w:type="dxa"/>
            <w:tcMar>
              <w:top w:w="0" w:type="dxa"/>
              <w:left w:w="115" w:type="dxa"/>
              <w:bottom w:w="0" w:type="dxa"/>
              <w:right w:w="115" w:type="dxa"/>
            </w:tcMar>
          </w:tcPr>
          <w:p w14:paraId="04D1FD6B" w14:textId="77777777" w:rsidR="002E16BF" w:rsidRDefault="002E16BF">
            <w:pPr>
              <w:rPr>
                <w:rFonts w:ascii="Arial" w:eastAsia="Arial" w:hAnsi="Arial" w:cs="Arial"/>
                <w:color w:val="000000"/>
                <w:sz w:val="20"/>
                <w:szCs w:val="20"/>
              </w:rPr>
            </w:pPr>
          </w:p>
        </w:tc>
        <w:tc>
          <w:tcPr>
            <w:tcW w:w="238" w:type="dxa"/>
            <w:tcMar>
              <w:top w:w="0" w:type="dxa"/>
              <w:left w:w="115" w:type="dxa"/>
              <w:bottom w:w="0" w:type="dxa"/>
              <w:right w:w="115" w:type="dxa"/>
            </w:tcMar>
          </w:tcPr>
          <w:p w14:paraId="06F3B503" w14:textId="77777777" w:rsidR="002E16BF" w:rsidRDefault="002E16BF">
            <w:pPr>
              <w:rPr>
                <w:rFonts w:ascii="Arial" w:eastAsia="Arial" w:hAnsi="Arial" w:cs="Arial"/>
                <w:color w:val="000000"/>
                <w:sz w:val="20"/>
                <w:szCs w:val="20"/>
              </w:rPr>
            </w:pPr>
          </w:p>
        </w:tc>
      </w:tr>
      <w:tr w:rsidR="002E16BF" w14:paraId="515403D8" w14:textId="77777777">
        <w:tc>
          <w:tcPr>
            <w:tcW w:w="10258" w:type="dxa"/>
            <w:tcMar>
              <w:top w:w="0" w:type="dxa"/>
              <w:left w:w="115" w:type="dxa"/>
              <w:bottom w:w="0" w:type="dxa"/>
              <w:right w:w="115" w:type="dxa"/>
            </w:tcMar>
          </w:tcPr>
          <w:p w14:paraId="4E1787E7" w14:textId="77777777" w:rsidR="002E16BF" w:rsidRDefault="002E16BF">
            <w:pPr>
              <w:rPr>
                <w:color w:val="000000"/>
                <w:sz w:val="22"/>
                <w:szCs w:val="22"/>
              </w:rPr>
            </w:pPr>
          </w:p>
        </w:tc>
        <w:tc>
          <w:tcPr>
            <w:tcW w:w="238" w:type="dxa"/>
            <w:tcMar>
              <w:top w:w="0" w:type="dxa"/>
              <w:left w:w="115" w:type="dxa"/>
              <w:bottom w:w="0" w:type="dxa"/>
              <w:right w:w="115" w:type="dxa"/>
            </w:tcMar>
          </w:tcPr>
          <w:p w14:paraId="77C578B7" w14:textId="77777777" w:rsidR="002E16BF" w:rsidRDefault="002E16BF">
            <w:pPr>
              <w:rPr>
                <w:color w:val="000000"/>
                <w:sz w:val="22"/>
                <w:szCs w:val="22"/>
              </w:rPr>
            </w:pPr>
          </w:p>
        </w:tc>
        <w:tc>
          <w:tcPr>
            <w:tcW w:w="238" w:type="dxa"/>
            <w:tcMar>
              <w:top w:w="0" w:type="dxa"/>
              <w:left w:w="115" w:type="dxa"/>
              <w:bottom w:w="0" w:type="dxa"/>
              <w:right w:w="115" w:type="dxa"/>
            </w:tcMar>
          </w:tcPr>
          <w:p w14:paraId="6DB4EF7A" w14:textId="77777777" w:rsidR="002E16BF" w:rsidRDefault="002E16BF">
            <w:pPr>
              <w:rPr>
                <w:color w:val="000000"/>
                <w:sz w:val="22"/>
                <w:szCs w:val="22"/>
              </w:rPr>
            </w:pPr>
          </w:p>
        </w:tc>
      </w:tr>
    </w:tbl>
    <w:p w14:paraId="1F245E4C" w14:textId="77777777" w:rsidR="002E16BF" w:rsidRDefault="002E16BF">
      <w:pPr>
        <w:rPr>
          <w:rFonts w:ascii="Arial" w:eastAsia="Arial" w:hAnsi="Arial" w:cs="Arial"/>
          <w:color w:val="000000"/>
          <w:sz w:val="22"/>
          <w:szCs w:val="22"/>
        </w:rPr>
      </w:pPr>
    </w:p>
    <w:sectPr w:rsidR="002E16BF">
      <w:headerReference w:type="default" r:id="rId8"/>
      <w:footerReference w:type="default" r:id="rId9"/>
      <w:pgSz w:w="12240" w:h="15840"/>
      <w:pgMar w:top="426" w:right="1440" w:bottom="212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502C3" w14:textId="77777777" w:rsidR="00A10021" w:rsidRDefault="00A10021">
      <w:r>
        <w:separator/>
      </w:r>
    </w:p>
  </w:endnote>
  <w:endnote w:type="continuationSeparator" w:id="0">
    <w:p w14:paraId="14B44133" w14:textId="77777777" w:rsidR="00A10021" w:rsidRDefault="00A1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8EF0B6-A766-4E6E-9E0E-EE22AA95E3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ACB248-1041-4998-93C4-A2A9669593B5}"/>
  </w:font>
  <w:font w:name="Georgia">
    <w:panose1 w:val="02040502050405020303"/>
    <w:charset w:val="00"/>
    <w:family w:val="roman"/>
    <w:pitch w:val="variable"/>
    <w:sig w:usb0="00000287" w:usb1="00000000" w:usb2="00000000" w:usb3="00000000" w:csb0="0000009F" w:csb1="00000000"/>
    <w:embedItalic r:id="rId3" w:fontKey="{634D5DDD-E646-4BFB-8494-59E81A2765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19CBA78A-6670-4627-920D-0F69F9A47169}"/>
  </w:font>
  <w:font w:name="Cambria">
    <w:panose1 w:val="02040503050406030204"/>
    <w:charset w:val="00"/>
    <w:family w:val="roman"/>
    <w:pitch w:val="variable"/>
    <w:sig w:usb0="E00006FF" w:usb1="420024FF" w:usb2="02000000" w:usb3="00000000" w:csb0="0000019F" w:csb1="00000000"/>
    <w:embedRegular r:id="rId5" w:fontKey="{8167835C-A5EE-4E3C-BF8A-118BB58CF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8CA90" w14:textId="1EB621C0" w:rsidR="002E16BF" w:rsidRDefault="002E16BF">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F9108" w14:textId="77777777" w:rsidR="00A10021" w:rsidRDefault="00A10021">
      <w:r>
        <w:separator/>
      </w:r>
    </w:p>
  </w:footnote>
  <w:footnote w:type="continuationSeparator" w:id="0">
    <w:p w14:paraId="78D588CD" w14:textId="77777777" w:rsidR="00A10021" w:rsidRDefault="00A10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9B60" w14:textId="77777777" w:rsidR="002E16BF" w:rsidRDefault="00000000">
    <w:pPr>
      <w:pBdr>
        <w:top w:val="nil"/>
        <w:left w:val="nil"/>
        <w:bottom w:val="nil"/>
        <w:right w:val="nil"/>
        <w:between w:val="nil"/>
      </w:pBdr>
      <w:tabs>
        <w:tab w:val="center" w:pos="4680"/>
        <w:tab w:val="right" w:pos="9360"/>
        <w:tab w:val="left" w:pos="1483"/>
      </w:tabs>
      <w:ind w:left="360"/>
      <w:rPr>
        <w:rFonts w:ascii="Calibri" w:eastAsia="Calibri" w:hAnsi="Calibri" w:cs="Calibri"/>
        <w:color w:val="000000"/>
        <w:sz w:val="36"/>
        <w:szCs w:val="36"/>
        <w:vertAlign w:val="superscript"/>
      </w:rPr>
    </w:pPr>
    <w:r>
      <w:rPr>
        <w:rFonts w:ascii="Calibri" w:eastAsia="Calibri" w:hAnsi="Calibri" w:cs="Calibri"/>
        <w:noProof/>
        <w:color w:val="000000"/>
      </w:rPr>
      <w:drawing>
        <wp:anchor distT="0" distB="0" distL="114300" distR="114300" simplePos="0" relativeHeight="251658240" behindDoc="0" locked="0" layoutInCell="1" hidden="0" allowOverlap="1" wp14:anchorId="08EAFC08" wp14:editId="39D36186">
          <wp:simplePos x="0" y="0"/>
          <wp:positionH relativeFrom="margin">
            <wp:posOffset>63500</wp:posOffset>
          </wp:positionH>
          <wp:positionV relativeFrom="margin">
            <wp:posOffset>-1092199</wp:posOffset>
          </wp:positionV>
          <wp:extent cx="825500" cy="31115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25500" cy="311150"/>
                  </a:xfrm>
                  <a:prstGeom prst="rect">
                    <a:avLst/>
                  </a:prstGeom>
                  <a:ln/>
                </pic:spPr>
              </pic:pic>
            </a:graphicData>
          </a:graphic>
        </wp:anchor>
      </w:drawing>
    </w:r>
    <w:r>
      <w:rPr>
        <w:rFonts w:ascii="Book Antiqua" w:eastAsia="Book Antiqua" w:hAnsi="Book Antiqua" w:cs="Book Antiqua"/>
        <w:smallCaps/>
        <w:color w:val="000000"/>
        <w:sz w:val="80"/>
        <w:szCs w:val="80"/>
        <w:vertAlign w:val="superscript"/>
      </w:rPr>
      <w:t xml:space="preserve">                 News</w:t>
    </w:r>
    <w:r>
      <w:rPr>
        <w:noProof/>
      </w:rPr>
      <mc:AlternateContent>
        <mc:Choice Requires="wps">
          <w:drawing>
            <wp:anchor distT="0" distB="0" distL="114299" distR="114299" simplePos="0" relativeHeight="251659264" behindDoc="0" locked="0" layoutInCell="1" hidden="0" allowOverlap="1" wp14:anchorId="7D51285E" wp14:editId="2D86A46C">
              <wp:simplePos x="0" y="0"/>
              <wp:positionH relativeFrom="column">
                <wp:posOffset>1062353</wp:posOffset>
              </wp:positionH>
              <wp:positionV relativeFrom="paragraph">
                <wp:posOffset>84455</wp:posOffset>
              </wp:positionV>
              <wp:extent cx="12700" cy="22860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1062353</wp:posOffset>
              </wp:positionH>
              <wp:positionV relativeFrom="paragraph">
                <wp:posOffset>84455</wp:posOffset>
              </wp:positionV>
              <wp:extent cx="12700" cy="228600"/>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2700" cy="2286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15E89E5" wp14:editId="42DCD4AF">
          <wp:simplePos x="0" y="0"/>
          <wp:positionH relativeFrom="column">
            <wp:posOffset>5181600</wp:posOffset>
          </wp:positionH>
          <wp:positionV relativeFrom="paragraph">
            <wp:posOffset>0</wp:posOffset>
          </wp:positionV>
          <wp:extent cx="762000" cy="4572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62000" cy="4572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CD803C9" wp14:editId="7615F10F">
          <wp:simplePos x="0" y="0"/>
          <wp:positionH relativeFrom="column">
            <wp:posOffset>4267200</wp:posOffset>
          </wp:positionH>
          <wp:positionV relativeFrom="paragraph">
            <wp:posOffset>0</wp:posOffset>
          </wp:positionV>
          <wp:extent cx="838200" cy="4572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838200"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A7FD4"/>
    <w:multiLevelType w:val="multilevel"/>
    <w:tmpl w:val="7892DB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500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BF"/>
    <w:rsid w:val="002E16BF"/>
    <w:rsid w:val="00A10021"/>
    <w:rsid w:val="00A4016A"/>
    <w:rsid w:val="00F3676E"/>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6B9E"/>
  <w15:docId w15:val="{5B14A0EA-B115-475A-8AF5-868E2A5D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A4016A"/>
    <w:pPr>
      <w:tabs>
        <w:tab w:val="center" w:pos="4513"/>
        <w:tab w:val="right" w:pos="9026"/>
      </w:tabs>
    </w:pPr>
  </w:style>
  <w:style w:type="character" w:customStyle="1" w:styleId="HeaderChar">
    <w:name w:val="Header Char"/>
    <w:basedOn w:val="DefaultParagraphFont"/>
    <w:link w:val="Header"/>
    <w:uiPriority w:val="99"/>
    <w:rsid w:val="00A4016A"/>
  </w:style>
  <w:style w:type="paragraph" w:styleId="Footer">
    <w:name w:val="footer"/>
    <w:basedOn w:val="Normal"/>
    <w:link w:val="FooterChar"/>
    <w:uiPriority w:val="99"/>
    <w:unhideWhenUsed/>
    <w:rsid w:val="00A4016A"/>
    <w:pPr>
      <w:tabs>
        <w:tab w:val="center" w:pos="4513"/>
        <w:tab w:val="right" w:pos="9026"/>
      </w:tabs>
    </w:pPr>
  </w:style>
  <w:style w:type="character" w:customStyle="1" w:styleId="FooterChar">
    <w:name w:val="Footer Char"/>
    <w:basedOn w:val="DefaultParagraphFont"/>
    <w:link w:val="Footer"/>
    <w:uiPriority w:val="99"/>
    <w:rsid w:val="00A40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4Rx3HHVNTxwCrStt/WJI0lhfw==">CgMxLjA4AHIhMTNBZ3VRUVh1MmttRV94bFVkQXU4NGRGZTdEWHNWOGpt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908</Words>
  <Characters>5177</Characters>
  <Application>Microsoft Office Word</Application>
  <DocSecurity>0</DocSecurity>
  <Lines>43</Lines>
  <Paragraphs>12</Paragraphs>
  <ScaleCrop>false</ScaleCrop>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cp:lastModifiedBy>
  <cp:revision>2</cp:revision>
  <dcterms:created xsi:type="dcterms:W3CDTF">2026-05-06T11:37:00Z</dcterms:created>
  <dcterms:modified xsi:type="dcterms:W3CDTF">2026-05-06T11:42:00Z</dcterms:modified>
</cp:coreProperties>
</file>